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382C5" w14:textId="0C97B833" w:rsidR="006310AF" w:rsidRPr="00901FB5" w:rsidRDefault="00901FB5" w:rsidP="00AF212C">
      <w:pPr>
        <w:pStyle w:val="Heading3"/>
        <w:jc w:val="both"/>
        <w:rPr>
          <w:rFonts w:asciiTheme="minorHAnsi" w:hAnsiTheme="minorHAnsi"/>
          <w:color w:val="0070C0"/>
          <w:szCs w:val="22"/>
          <w:lang w:eastAsia="ro-RO"/>
        </w:rPr>
      </w:pPr>
      <w:r w:rsidRPr="00901FB5">
        <w:rPr>
          <w:rFonts w:asciiTheme="minorHAnsi" w:hAnsiTheme="minorHAnsi"/>
          <w:color w:val="0070C0"/>
          <w:szCs w:val="22"/>
          <w:lang w:eastAsia="ro-RO"/>
        </w:rPr>
        <w:t xml:space="preserve"> </w:t>
      </w:r>
      <w:r w:rsidR="00C75F36">
        <w:rPr>
          <w:rFonts w:asciiTheme="minorHAnsi" w:hAnsiTheme="minorHAnsi"/>
          <w:color w:val="0070C0"/>
          <w:szCs w:val="22"/>
        </w:rPr>
        <w:tab/>
        <w:t>Metodologie de monitorizare a activității economice a Organizației de CD</w:t>
      </w:r>
    </w:p>
    <w:p w14:paraId="67EC70B8" w14:textId="77777777" w:rsidR="00E21077" w:rsidRDefault="00E21077" w:rsidP="00AF212C">
      <w:pPr>
        <w:jc w:val="both"/>
        <w:rPr>
          <w:rFonts w:asciiTheme="minorHAnsi" w:hAnsiTheme="minorHAnsi"/>
          <w:color w:val="0070C0"/>
        </w:rPr>
      </w:pPr>
    </w:p>
    <w:p w14:paraId="143C39B7" w14:textId="1008CD6E" w:rsidR="00E23DD1" w:rsidRDefault="00E23DD1" w:rsidP="00C75F36">
      <w:pPr>
        <w:jc w:val="both"/>
        <w:rPr>
          <w:rFonts w:asciiTheme="minorHAnsi" w:hAnsiTheme="minorHAnsi" w:cstheme="minorHAnsi"/>
          <w:sz w:val="24"/>
          <w:szCs w:val="24"/>
          <w:lang w:val="pt-BR"/>
        </w:rPr>
      </w:pPr>
      <w:r w:rsidRPr="00E23DD1">
        <w:rPr>
          <w:rFonts w:asciiTheme="minorHAnsi" w:hAnsiTheme="minorHAnsi" w:cstheme="minorHAnsi"/>
          <w:b/>
          <w:bCs/>
          <w:sz w:val="24"/>
          <w:szCs w:val="24"/>
          <w:lang w:val="pt-BR"/>
        </w:rPr>
        <w:t>Normele de fond în domeniul ajutoarelor de stat</w:t>
      </w:r>
      <w:r>
        <w:rPr>
          <w:rFonts w:asciiTheme="minorHAnsi" w:hAnsiTheme="minorHAnsi" w:cstheme="minorHAnsi"/>
          <w:b/>
          <w:bCs/>
          <w:sz w:val="24"/>
          <w:szCs w:val="24"/>
          <w:lang w:val="pt-BR"/>
        </w:rPr>
        <w:t xml:space="preserve"> privind cercetarea, dezvoltarea și inovarea </w:t>
      </w:r>
      <w:r w:rsidRPr="00E23DD1">
        <w:rPr>
          <w:rFonts w:asciiTheme="minorHAnsi" w:hAnsiTheme="minorHAnsi" w:cstheme="minorHAnsi"/>
          <w:sz w:val="24"/>
          <w:szCs w:val="24"/>
          <w:lang w:val="pt-BR"/>
        </w:rPr>
        <w:t xml:space="preserve">presupun </w:t>
      </w:r>
      <w:r>
        <w:rPr>
          <w:rFonts w:asciiTheme="minorHAnsi" w:hAnsiTheme="minorHAnsi" w:cstheme="minorHAnsi"/>
          <w:sz w:val="24"/>
          <w:szCs w:val="24"/>
          <w:lang w:val="pt-BR"/>
        </w:rPr>
        <w:t xml:space="preserve">monitorizarea activității economice a </w:t>
      </w:r>
      <w:r w:rsidR="00053607">
        <w:rPr>
          <w:rFonts w:asciiTheme="minorHAnsi" w:hAnsiTheme="minorHAnsi" w:cstheme="minorHAnsi"/>
          <w:sz w:val="24"/>
          <w:szCs w:val="24"/>
          <w:lang w:val="pt-BR"/>
        </w:rPr>
        <w:t>e</w:t>
      </w:r>
      <w:r>
        <w:rPr>
          <w:rFonts w:asciiTheme="minorHAnsi" w:hAnsiTheme="minorHAnsi" w:cstheme="minorHAnsi"/>
          <w:sz w:val="24"/>
          <w:szCs w:val="24"/>
          <w:lang w:val="pt-BR"/>
        </w:rPr>
        <w:t>ntităților de CDI în evaluarea compatibilității</w:t>
      </w:r>
      <w:r w:rsidR="008B055C">
        <w:rPr>
          <w:rFonts w:asciiTheme="minorHAnsi" w:hAnsiTheme="minorHAnsi" w:cstheme="minorHAnsi"/>
          <w:sz w:val="24"/>
          <w:szCs w:val="24"/>
          <w:lang w:val="pt-BR"/>
        </w:rPr>
        <w:t xml:space="preserve"> finanțării următoarelor tipuri de activități:</w:t>
      </w:r>
    </w:p>
    <w:p w14:paraId="66A18613" w14:textId="77777777" w:rsidR="00B815AB" w:rsidRDefault="00B815AB" w:rsidP="00C75F36">
      <w:pPr>
        <w:jc w:val="both"/>
        <w:rPr>
          <w:rFonts w:asciiTheme="minorHAnsi" w:hAnsiTheme="minorHAnsi" w:cstheme="minorHAnsi"/>
          <w:sz w:val="24"/>
          <w:szCs w:val="24"/>
          <w:lang w:val="pt-BR"/>
        </w:rPr>
      </w:pPr>
    </w:p>
    <w:p w14:paraId="736966C7" w14:textId="5E7F06FA" w:rsidR="008B055C" w:rsidRPr="00B815AB" w:rsidRDefault="008B055C" w:rsidP="008B055C">
      <w:pPr>
        <w:pStyle w:val="ListParagraph"/>
        <w:numPr>
          <w:ilvl w:val="0"/>
          <w:numId w:val="36"/>
        </w:numPr>
        <w:jc w:val="both"/>
        <w:rPr>
          <w:rFonts w:asciiTheme="minorHAnsi" w:hAnsiTheme="minorHAnsi" w:cstheme="minorHAnsi"/>
          <w:sz w:val="24"/>
          <w:szCs w:val="24"/>
          <w:lang w:val="pt-BR"/>
        </w:rPr>
      </w:pPr>
      <w:r w:rsidRPr="008B055C">
        <w:rPr>
          <w:rFonts w:asciiTheme="minorHAnsi" w:hAnsiTheme="minorHAnsi" w:cstheme="minorHAnsi"/>
          <w:b/>
          <w:bCs/>
          <w:sz w:val="24"/>
          <w:szCs w:val="24"/>
          <w:lang w:val="pt-BR"/>
        </w:rPr>
        <w:t>Finanțarea publică a activităților neeconomice</w:t>
      </w:r>
      <w:r w:rsidR="00584DEF">
        <w:rPr>
          <w:rFonts w:asciiTheme="minorHAnsi" w:hAnsiTheme="minorHAnsi" w:cstheme="minorHAnsi"/>
          <w:b/>
          <w:bCs/>
          <w:sz w:val="24"/>
          <w:szCs w:val="24"/>
          <w:lang w:val="pt-BR"/>
        </w:rPr>
        <w:t xml:space="preserve"> </w:t>
      </w:r>
      <w:r w:rsidR="00584DEF" w:rsidRPr="00B815AB">
        <w:rPr>
          <w:rFonts w:asciiTheme="minorHAnsi" w:hAnsiTheme="minorHAnsi" w:cstheme="minorHAnsi"/>
          <w:sz w:val="24"/>
          <w:szCs w:val="24"/>
          <w:lang w:val="pt-BR"/>
        </w:rPr>
        <w:t>(activitate</w:t>
      </w:r>
      <w:r w:rsidR="00B815AB" w:rsidRPr="00B815AB">
        <w:rPr>
          <w:rFonts w:asciiTheme="minorHAnsi" w:hAnsiTheme="minorHAnsi" w:cstheme="minorHAnsi"/>
          <w:sz w:val="24"/>
          <w:szCs w:val="24"/>
          <w:lang w:val="pt-BR"/>
        </w:rPr>
        <w:t>a</w:t>
      </w:r>
      <w:r w:rsidR="00584DEF" w:rsidRPr="00B815AB">
        <w:rPr>
          <w:rFonts w:asciiTheme="minorHAnsi" w:hAnsiTheme="minorHAnsi" w:cstheme="minorHAnsi"/>
          <w:sz w:val="24"/>
          <w:szCs w:val="24"/>
          <w:lang w:val="pt-BR"/>
        </w:rPr>
        <w:t xml:space="preserve"> economică </w:t>
      </w:r>
      <w:r w:rsidR="00B815AB" w:rsidRPr="00B815AB">
        <w:rPr>
          <w:rFonts w:asciiTheme="minorHAnsi" w:hAnsiTheme="minorHAnsi" w:cstheme="minorHAnsi"/>
          <w:sz w:val="24"/>
          <w:szCs w:val="24"/>
          <w:lang w:val="pt-BR"/>
        </w:rPr>
        <w:t xml:space="preserve">este </w:t>
      </w:r>
      <w:r w:rsidR="00584DEF" w:rsidRPr="00B815AB">
        <w:rPr>
          <w:rFonts w:asciiTheme="minorHAnsi" w:hAnsiTheme="minorHAnsi" w:cstheme="minorHAnsi"/>
          <w:sz w:val="24"/>
          <w:szCs w:val="24"/>
          <w:lang w:val="pt-BR"/>
        </w:rPr>
        <w:t>pur auxiliară - capacitatea alocată în fiecare an activităților economice nu depășește 20 % din capacitatea anuală globală a entității respective)</w:t>
      </w:r>
    </w:p>
    <w:p w14:paraId="7EA14386" w14:textId="11253ECC" w:rsidR="008B055C" w:rsidRPr="00B815AB" w:rsidRDefault="008B055C" w:rsidP="008B055C">
      <w:pPr>
        <w:pStyle w:val="ListParagraph"/>
        <w:numPr>
          <w:ilvl w:val="0"/>
          <w:numId w:val="36"/>
        </w:numPr>
        <w:jc w:val="both"/>
        <w:rPr>
          <w:rFonts w:asciiTheme="minorHAnsi" w:hAnsiTheme="minorHAnsi" w:cstheme="minorHAnsi"/>
          <w:sz w:val="24"/>
          <w:szCs w:val="24"/>
          <w:lang w:val="pt-BR"/>
        </w:rPr>
      </w:pPr>
      <w:r w:rsidRPr="008B055C">
        <w:rPr>
          <w:rFonts w:asciiTheme="minorHAnsi" w:hAnsiTheme="minorHAnsi" w:cstheme="minorHAnsi"/>
          <w:b/>
          <w:bCs/>
          <w:sz w:val="24"/>
          <w:szCs w:val="24"/>
          <w:lang w:val="pt-BR"/>
        </w:rPr>
        <w:t>Finanțarea publică a activităților economice ale organizațiilor de cercetare și ale infrastructurilor de cercetare</w:t>
      </w:r>
      <w:r w:rsidR="00584DEF">
        <w:rPr>
          <w:rFonts w:asciiTheme="minorHAnsi" w:hAnsiTheme="minorHAnsi" w:cstheme="minorHAnsi"/>
          <w:b/>
          <w:bCs/>
          <w:sz w:val="24"/>
          <w:szCs w:val="24"/>
          <w:lang w:val="pt-BR"/>
        </w:rPr>
        <w:t xml:space="preserve"> </w:t>
      </w:r>
      <w:r w:rsidR="00584DEF" w:rsidRPr="00B815AB">
        <w:rPr>
          <w:rFonts w:asciiTheme="minorHAnsi" w:hAnsiTheme="minorHAnsi" w:cstheme="minorHAnsi"/>
          <w:sz w:val="24"/>
          <w:szCs w:val="24"/>
          <w:lang w:val="pt-BR"/>
        </w:rPr>
        <w:t>(activitate</w:t>
      </w:r>
      <w:r w:rsidR="00061969">
        <w:rPr>
          <w:rFonts w:asciiTheme="minorHAnsi" w:hAnsiTheme="minorHAnsi" w:cstheme="minorHAnsi"/>
          <w:sz w:val="24"/>
          <w:szCs w:val="24"/>
          <w:lang w:val="pt-BR"/>
        </w:rPr>
        <w:t>a</w:t>
      </w:r>
      <w:r w:rsidR="00584DEF" w:rsidRPr="00B815AB">
        <w:rPr>
          <w:rFonts w:asciiTheme="minorHAnsi" w:hAnsiTheme="minorHAnsi" w:cstheme="minorHAnsi"/>
          <w:sz w:val="24"/>
          <w:szCs w:val="24"/>
          <w:lang w:val="pt-BR"/>
        </w:rPr>
        <w:t xml:space="preserve"> economică</w:t>
      </w:r>
      <w:r w:rsidR="00B815AB" w:rsidRPr="00B815AB">
        <w:rPr>
          <w:rFonts w:asciiTheme="minorHAnsi" w:hAnsiTheme="minorHAnsi" w:cstheme="minorHAnsi"/>
          <w:sz w:val="24"/>
          <w:szCs w:val="24"/>
          <w:lang w:val="pt-BR"/>
        </w:rPr>
        <w:t xml:space="preserve"> nu este pur auxiliară - capacitatea alocată în fiecare an activităților economice depășește 20 % din capacitatea anuală globală a entității respective)</w:t>
      </w:r>
    </w:p>
    <w:p w14:paraId="25722EE6" w14:textId="4C81491E" w:rsidR="00C75F36" w:rsidRDefault="00C75F36" w:rsidP="00AF212C">
      <w:pPr>
        <w:jc w:val="both"/>
        <w:rPr>
          <w:rFonts w:asciiTheme="minorHAnsi" w:hAnsiTheme="minorHAnsi" w:cstheme="minorHAnsi"/>
          <w:sz w:val="24"/>
          <w:szCs w:val="24"/>
        </w:rPr>
      </w:pPr>
      <w:r w:rsidRPr="00B23C99">
        <w:rPr>
          <w:rFonts w:asciiTheme="minorHAnsi" w:hAnsiTheme="minorHAnsi" w:cstheme="minorHAnsi"/>
          <w:b/>
          <w:bCs/>
          <w:sz w:val="24"/>
          <w:szCs w:val="24"/>
          <w:lang w:val="pt-BR"/>
        </w:rPr>
        <w:t>Finanțarea publică a organizațiilor de cercetare nu intră sub incidența normelor privind ajutoarele de stat dacă activitatea economică este pur auxiliară</w:t>
      </w:r>
      <w:r w:rsidRPr="004C3A52">
        <w:rPr>
          <w:rFonts w:asciiTheme="minorHAnsi" w:hAnsiTheme="minorHAnsi" w:cstheme="minorHAnsi"/>
          <w:sz w:val="24"/>
          <w:szCs w:val="24"/>
          <w:lang w:val="pt-BR"/>
        </w:rPr>
        <w:t xml:space="preserve">,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w:t>
      </w:r>
      <w:r w:rsidRPr="00343E16">
        <w:rPr>
          <w:rFonts w:asciiTheme="minorHAnsi" w:hAnsiTheme="minorHAnsi" w:cstheme="minorHAnsi"/>
          <w:sz w:val="24"/>
          <w:szCs w:val="24"/>
        </w:rPr>
        <w:t xml:space="preserve"> În sensul prezentului cadru, Comisia va considera că așa stau lucrurile atunci când activitățile economice consumă exact aceiași factori (de exemplu, materiale, echipamente, forță de muncă și capital fix) ca și activitățile neeconomice, iar capacitatea alocată în fiecare an unor astfel de activități economice nu depășește 20 % din capacitatea anuală globală a entității respective</w:t>
      </w:r>
      <w:r w:rsidR="00A20FA7">
        <w:rPr>
          <w:rFonts w:asciiTheme="minorHAnsi" w:hAnsiTheme="minorHAnsi" w:cstheme="minorHAnsi"/>
          <w:sz w:val="24"/>
          <w:szCs w:val="24"/>
        </w:rPr>
        <w:t>.</w:t>
      </w:r>
    </w:p>
    <w:p w14:paraId="212CCE46" w14:textId="77777777" w:rsidR="00A20FA7" w:rsidRDefault="00A20FA7" w:rsidP="00AF212C">
      <w:pPr>
        <w:jc w:val="both"/>
        <w:rPr>
          <w:rFonts w:asciiTheme="minorHAnsi" w:hAnsiTheme="minorHAnsi" w:cstheme="minorHAnsi"/>
          <w:sz w:val="24"/>
          <w:szCs w:val="24"/>
        </w:rPr>
      </w:pPr>
    </w:p>
    <w:p w14:paraId="0FCFB55B" w14:textId="77777777" w:rsidR="00A20FA7" w:rsidRPr="00A20FA7" w:rsidRDefault="00A20FA7" w:rsidP="00A20FA7">
      <w:pPr>
        <w:jc w:val="both"/>
        <w:rPr>
          <w:rFonts w:asciiTheme="minorHAnsi" w:hAnsiTheme="minorHAnsi" w:cstheme="minorHAnsi"/>
          <w:sz w:val="24"/>
          <w:szCs w:val="24"/>
          <w:lang w:val="pt-BR"/>
        </w:rPr>
      </w:pPr>
      <w:r w:rsidRPr="00A20FA7">
        <w:rPr>
          <w:rFonts w:asciiTheme="minorHAnsi" w:hAnsiTheme="minorHAnsi" w:cstheme="minorHAnsi"/>
          <w:sz w:val="24"/>
          <w:szCs w:val="24"/>
          <w:lang w:val="pt-BR"/>
        </w:rPr>
        <w:t>Obținerea de venituri prin participarea în proiecte de cercetare nu este considerată activitate economică.</w:t>
      </w:r>
    </w:p>
    <w:p w14:paraId="2E6D0CBF" w14:textId="77777777" w:rsidR="00A20FA7" w:rsidRPr="00A20FA7" w:rsidRDefault="00A20FA7" w:rsidP="00A20FA7">
      <w:pPr>
        <w:jc w:val="both"/>
        <w:rPr>
          <w:rFonts w:asciiTheme="minorHAnsi" w:hAnsiTheme="minorHAnsi" w:cstheme="minorHAnsi"/>
          <w:sz w:val="24"/>
          <w:szCs w:val="24"/>
          <w:lang w:val="pt-BR"/>
        </w:rPr>
      </w:pPr>
    </w:p>
    <w:p w14:paraId="3866E847" w14:textId="288EC711" w:rsidR="00A20FA7" w:rsidRPr="00A20FA7" w:rsidRDefault="00A20FA7" w:rsidP="00A20FA7">
      <w:pPr>
        <w:jc w:val="both"/>
        <w:rPr>
          <w:rFonts w:asciiTheme="minorHAnsi" w:hAnsiTheme="minorHAnsi" w:cstheme="minorHAnsi"/>
          <w:b/>
          <w:bCs/>
          <w:sz w:val="24"/>
          <w:szCs w:val="24"/>
          <w:lang w:val="pt-BR"/>
        </w:rPr>
      </w:pPr>
      <w:r w:rsidRPr="00A20FA7">
        <w:rPr>
          <w:rFonts w:asciiTheme="minorHAnsi" w:hAnsiTheme="minorHAnsi" w:cstheme="minorHAnsi"/>
          <w:sz w:val="24"/>
          <w:szCs w:val="24"/>
          <w:lang w:val="pt-BR"/>
        </w:rPr>
        <w:t xml:space="preserve">Fără a aduce atingere celor mai sus prezentate, </w:t>
      </w:r>
      <w:r w:rsidRPr="00A20FA7">
        <w:rPr>
          <w:rFonts w:asciiTheme="minorHAnsi" w:hAnsiTheme="minorHAnsi" w:cstheme="minorHAnsi"/>
          <w:b/>
          <w:bCs/>
          <w:sz w:val="24"/>
          <w:szCs w:val="24"/>
          <w:lang w:val="pt-BR"/>
        </w:rPr>
        <w:t>în cazul în care organizațiile de cercetare sau infrastructurile de cercetare sunt utilizate pentru a desfășura activități de natură economică</w:t>
      </w:r>
      <w:r w:rsidRPr="00A20FA7">
        <w:rPr>
          <w:rFonts w:asciiTheme="minorHAnsi" w:hAnsiTheme="minorHAnsi" w:cstheme="minorHAnsi"/>
          <w:sz w:val="24"/>
          <w:szCs w:val="24"/>
          <w:lang w:val="pt-BR"/>
        </w:rPr>
        <w:t xml:space="preserve">, cum ar fi închirierea de echipamente sau de laboratoare către întreprinderi, furnizarea de servicii către întreprinderi sau desfășurarea de activități de cercetare contractuală, </w:t>
      </w:r>
      <w:r w:rsidRPr="00A20FA7">
        <w:rPr>
          <w:rFonts w:asciiTheme="minorHAnsi" w:hAnsiTheme="minorHAnsi" w:cstheme="minorHAnsi"/>
          <w:b/>
          <w:bCs/>
          <w:sz w:val="24"/>
          <w:szCs w:val="24"/>
          <w:lang w:val="pt-BR"/>
        </w:rPr>
        <w:t>finanțarea din fonduri publice a activităților economice respective va fi, în general, considerată ajutor de stat.</w:t>
      </w:r>
    </w:p>
    <w:p w14:paraId="382E5BFA" w14:textId="77777777" w:rsidR="00E23DD1" w:rsidRDefault="00E23DD1" w:rsidP="00AF212C">
      <w:pPr>
        <w:jc w:val="both"/>
        <w:rPr>
          <w:rFonts w:asciiTheme="minorHAnsi" w:hAnsiTheme="minorHAnsi" w:cstheme="minorHAnsi"/>
          <w:sz w:val="24"/>
          <w:szCs w:val="24"/>
        </w:rPr>
      </w:pPr>
    </w:p>
    <w:p w14:paraId="1FD44F4A" w14:textId="62D973B5" w:rsidR="00E23DD1" w:rsidRDefault="00E23DD1" w:rsidP="00E23DD1">
      <w:pPr>
        <w:jc w:val="both"/>
        <w:rPr>
          <w:rFonts w:asciiTheme="minorHAnsi" w:eastAsia="Calibri" w:hAnsiTheme="minorHAnsi" w:cstheme="minorHAnsi"/>
          <w:bCs/>
          <w:sz w:val="24"/>
          <w:szCs w:val="24"/>
          <w:lang w:val="pt-BR"/>
        </w:rPr>
      </w:pPr>
      <w:r w:rsidRPr="003B021D">
        <w:rPr>
          <w:rFonts w:asciiTheme="minorHAnsi" w:eastAsia="Calibri" w:hAnsiTheme="minorHAnsi" w:cstheme="minorHAnsi"/>
          <w:b/>
          <w:sz w:val="24"/>
          <w:szCs w:val="24"/>
          <w:lang w:val="pt-BR"/>
        </w:rPr>
        <w:t>Pentru a evita subvenționarea încrucișată a activității economice și pentru a putea controla caracterul auxiliar al activităților economice, cele două tipuri de activități</w:t>
      </w:r>
      <w:r w:rsidRPr="00836E06">
        <w:rPr>
          <w:rFonts w:asciiTheme="minorHAnsi" w:eastAsia="Calibri" w:hAnsiTheme="minorHAnsi" w:cstheme="minorHAnsi"/>
          <w:bCs/>
          <w:sz w:val="24"/>
          <w:szCs w:val="24"/>
          <w:lang w:val="pt-BR"/>
        </w:rPr>
        <w:t xml:space="preserve"> </w:t>
      </w:r>
      <w:r w:rsidRPr="003B021D">
        <w:rPr>
          <w:rFonts w:asciiTheme="minorHAnsi" w:eastAsia="Calibri" w:hAnsiTheme="minorHAnsi" w:cstheme="minorHAnsi"/>
          <w:b/>
          <w:sz w:val="24"/>
          <w:szCs w:val="24"/>
          <w:lang w:val="pt-BR"/>
        </w:rPr>
        <w:t>şi costurile de finanțare trebuie evidențiate distinct în contabilitatea anuală a acestor organizații</w:t>
      </w:r>
      <w:r w:rsidRPr="00836E06">
        <w:rPr>
          <w:rFonts w:asciiTheme="minorHAnsi" w:eastAsia="Calibri" w:hAnsiTheme="minorHAnsi" w:cstheme="minorHAnsi"/>
          <w:bCs/>
          <w:sz w:val="24"/>
          <w:szCs w:val="24"/>
          <w:lang w:val="pt-BR"/>
        </w:rPr>
        <w:t>.</w:t>
      </w:r>
      <w:r>
        <w:rPr>
          <w:rFonts w:asciiTheme="minorHAnsi" w:eastAsia="Calibri" w:hAnsiTheme="minorHAnsi" w:cstheme="minorHAnsi"/>
          <w:bCs/>
          <w:sz w:val="24"/>
          <w:szCs w:val="24"/>
          <w:lang w:val="pt-BR"/>
        </w:rPr>
        <w:t xml:space="preserve"> AM </w:t>
      </w:r>
      <w:r w:rsidR="00076CAA">
        <w:rPr>
          <w:rFonts w:asciiTheme="minorHAnsi" w:eastAsia="Calibri" w:hAnsiTheme="minorHAnsi" w:cstheme="minorHAnsi"/>
          <w:bCs/>
          <w:sz w:val="24"/>
          <w:szCs w:val="24"/>
          <w:lang w:val="pt-BR"/>
        </w:rPr>
        <w:t xml:space="preserve">PR SVO </w:t>
      </w:r>
      <w:r>
        <w:rPr>
          <w:rFonts w:asciiTheme="minorHAnsi" w:eastAsia="Calibri" w:hAnsiTheme="minorHAnsi" w:cstheme="minorHAnsi"/>
          <w:bCs/>
          <w:sz w:val="24"/>
          <w:szCs w:val="24"/>
          <w:lang w:val="pt-BR"/>
        </w:rPr>
        <w:t xml:space="preserve">se va asigura prin mijloace necesare </w:t>
      </w:r>
      <w:r w:rsidRPr="00836E06">
        <w:rPr>
          <w:rFonts w:asciiTheme="minorHAnsi" w:eastAsia="Calibri" w:hAnsiTheme="minorHAnsi" w:cstheme="minorHAnsi"/>
          <w:bCs/>
          <w:sz w:val="24"/>
          <w:szCs w:val="24"/>
          <w:lang w:val="pt-BR"/>
        </w:rPr>
        <w:t xml:space="preserve">că sprijinul financiar acordat institutelor de cercetare nu intră sub incidența ajutorului de stat, respectiv că activitățile economice desfășurate de acestea sunt și rămân pur auxiliare, iar capacitatea alocată în fiecare an unor astfel de activități economice nu depășește 20% din capacitatea anuală globală a entității respective, </w:t>
      </w:r>
      <w:r>
        <w:rPr>
          <w:rFonts w:asciiTheme="minorHAnsi" w:eastAsia="Calibri" w:hAnsiTheme="minorHAnsi" w:cstheme="minorHAnsi"/>
          <w:bCs/>
          <w:sz w:val="24"/>
          <w:szCs w:val="24"/>
          <w:lang w:val="pt-BR"/>
        </w:rPr>
        <w:t>inclusiv prin</w:t>
      </w:r>
      <w:r w:rsidRPr="00836E06">
        <w:rPr>
          <w:rFonts w:asciiTheme="minorHAnsi" w:eastAsia="Calibri" w:hAnsiTheme="minorHAnsi" w:cstheme="minorHAnsi"/>
          <w:bCs/>
          <w:sz w:val="24"/>
          <w:szCs w:val="24"/>
          <w:lang w:val="pt-BR"/>
        </w:rPr>
        <w:t xml:space="preserve"> mecanisme de recuperare a ajutoarelor acordate pentru activitățile economice pentru anii în care procentul de 20% mai sus amintit este depășit.</w:t>
      </w:r>
    </w:p>
    <w:p w14:paraId="6D66E349" w14:textId="77777777" w:rsidR="00575535" w:rsidRPr="00343E16" w:rsidRDefault="00575535" w:rsidP="00E23DD1">
      <w:pPr>
        <w:jc w:val="both"/>
        <w:rPr>
          <w:rFonts w:asciiTheme="minorHAnsi" w:eastAsia="Calibri" w:hAnsiTheme="minorHAnsi" w:cstheme="minorHAnsi"/>
          <w:sz w:val="24"/>
          <w:szCs w:val="24"/>
        </w:rPr>
      </w:pPr>
    </w:p>
    <w:p w14:paraId="2FEFDBE9" w14:textId="77777777" w:rsidR="00E23DD1" w:rsidRDefault="00E23DD1" w:rsidP="00AF212C">
      <w:pPr>
        <w:jc w:val="both"/>
        <w:rPr>
          <w:rFonts w:asciiTheme="minorHAnsi" w:hAnsiTheme="minorHAnsi"/>
          <w:color w:val="0070C0"/>
        </w:rPr>
      </w:pPr>
    </w:p>
    <w:tbl>
      <w:tblPr>
        <w:tblW w:w="4870" w:type="pct"/>
        <w:tblInd w:w="4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265"/>
      </w:tblGrid>
      <w:tr w:rsidR="00DD58E1" w:rsidRPr="007A1F04" w14:paraId="363B6086" w14:textId="77777777" w:rsidTr="001A5CD8">
        <w:tc>
          <w:tcPr>
            <w:tcW w:w="5000" w:type="pct"/>
            <w:vAlign w:val="center"/>
          </w:tcPr>
          <w:p w14:paraId="5BEEF508" w14:textId="77777777" w:rsidR="00DD58E1" w:rsidRDefault="00DD58E1" w:rsidP="001A5CD8">
            <w:pPr>
              <w:pBdr>
                <w:top w:val="nil"/>
                <w:left w:val="nil"/>
                <w:bottom w:val="nil"/>
                <w:right w:val="nil"/>
                <w:between w:val="nil"/>
              </w:pBdr>
              <w:ind w:left="360" w:hanging="360"/>
              <w:jc w:val="center"/>
              <w:rPr>
                <w:rFonts w:eastAsia="Calibri" w:cs="Calibri"/>
                <w:b/>
                <w:color w:val="000000"/>
              </w:rPr>
            </w:pPr>
            <w:r w:rsidRPr="007303B5">
              <w:rPr>
                <w:rFonts w:eastAsia="Calibri" w:cs="Calibri"/>
                <w:b/>
                <w:color w:val="000000"/>
              </w:rPr>
              <w:t>MECANISM RECUPERARE (acolo unde este cazul)</w:t>
            </w:r>
          </w:p>
          <w:p w14:paraId="1A9A8DB7" w14:textId="77777777" w:rsidR="00D95A6E" w:rsidRPr="007303B5" w:rsidRDefault="00D95A6E" w:rsidP="001A5CD8">
            <w:pPr>
              <w:pBdr>
                <w:top w:val="nil"/>
                <w:left w:val="nil"/>
                <w:bottom w:val="nil"/>
                <w:right w:val="nil"/>
                <w:between w:val="nil"/>
              </w:pBdr>
              <w:ind w:left="360" w:hanging="360"/>
              <w:jc w:val="center"/>
              <w:rPr>
                <w:rFonts w:eastAsia="Calibri" w:cs="Calibri"/>
                <w:b/>
                <w:color w:val="000000"/>
              </w:rPr>
            </w:pPr>
          </w:p>
        </w:tc>
      </w:tr>
      <w:tr w:rsidR="00DD58E1" w:rsidRPr="00F536E1" w14:paraId="064F7ECE" w14:textId="77777777" w:rsidTr="00D95A6E">
        <w:trPr>
          <w:trHeight w:val="10906"/>
        </w:trPr>
        <w:tc>
          <w:tcPr>
            <w:tcW w:w="5000" w:type="pct"/>
          </w:tcPr>
          <w:p w14:paraId="0B86B760" w14:textId="77777777" w:rsidR="00D95A6E" w:rsidRDefault="00D95A6E" w:rsidP="001A5CD8">
            <w:pPr>
              <w:pBdr>
                <w:top w:val="nil"/>
                <w:left w:val="nil"/>
                <w:bottom w:val="nil"/>
                <w:right w:val="nil"/>
                <w:between w:val="nil"/>
              </w:pBdr>
              <w:ind w:left="360" w:right="127" w:hanging="360"/>
              <w:jc w:val="both"/>
              <w:rPr>
                <w:rFonts w:eastAsia="Calibri" w:cs="Calibri"/>
                <w:color w:val="000000"/>
              </w:rPr>
            </w:pPr>
          </w:p>
          <w:p w14:paraId="06018542" w14:textId="77777777" w:rsidR="00D95A6E" w:rsidRDefault="00D95A6E" w:rsidP="001A5CD8">
            <w:pPr>
              <w:pBdr>
                <w:top w:val="nil"/>
                <w:left w:val="nil"/>
                <w:bottom w:val="nil"/>
                <w:right w:val="nil"/>
                <w:between w:val="nil"/>
              </w:pBdr>
              <w:ind w:left="360" w:right="127" w:hanging="360"/>
              <w:jc w:val="both"/>
              <w:rPr>
                <w:rFonts w:eastAsia="Calibri" w:cs="Calibri"/>
                <w:color w:val="000000"/>
              </w:rPr>
            </w:pPr>
          </w:p>
          <w:p w14:paraId="1EF2D39E" w14:textId="4A359E2A" w:rsidR="00DD58E1" w:rsidRPr="002E2BA9" w:rsidRDefault="00575535" w:rsidP="001A5CD8">
            <w:pPr>
              <w:pBdr>
                <w:top w:val="nil"/>
                <w:left w:val="nil"/>
                <w:bottom w:val="nil"/>
                <w:right w:val="nil"/>
                <w:between w:val="nil"/>
              </w:pBdr>
              <w:ind w:left="360" w:right="127" w:hanging="360"/>
              <w:jc w:val="both"/>
              <w:rPr>
                <w:rFonts w:eastAsia="Calibri" w:cs="Calibri"/>
                <w:color w:val="000000"/>
              </w:rPr>
            </w:pPr>
            <w:r>
              <w:rPr>
                <w:rFonts w:eastAsia="Calibri" w:cs="Calibri"/>
                <w:color w:val="000000"/>
              </w:rPr>
              <w:t>I</w:t>
            </w:r>
            <w:r w:rsidR="00DD58E1" w:rsidRPr="007303B5">
              <w:rPr>
                <w:rFonts w:eastAsia="Calibri" w:cs="Calibri"/>
                <w:color w:val="000000"/>
              </w:rPr>
              <w:t xml:space="preserve">nfrastructura </w:t>
            </w:r>
            <w:r>
              <w:rPr>
                <w:rFonts w:eastAsia="Calibri" w:cs="Calibri"/>
                <w:color w:val="000000"/>
              </w:rPr>
              <w:t>este</w:t>
            </w:r>
            <w:r w:rsidR="00DD58E1" w:rsidRPr="007303B5">
              <w:rPr>
                <w:rFonts w:eastAsia="Calibri" w:cs="Calibri"/>
                <w:color w:val="000000"/>
              </w:rPr>
              <w:t xml:space="preserve"> utilizată pentru activități economice și</w:t>
            </w:r>
            <w:r w:rsidR="00E92954">
              <w:rPr>
                <w:rFonts w:eastAsia="Calibri" w:cs="Calibri"/>
                <w:color w:val="000000"/>
              </w:rPr>
              <w:t>/sau</w:t>
            </w:r>
            <w:r w:rsidR="00DD58E1">
              <w:rPr>
                <w:rFonts w:eastAsia="Calibri" w:cs="Calibri"/>
                <w:color w:val="000000"/>
              </w:rPr>
              <w:t xml:space="preserve"> neeconomice</w:t>
            </w:r>
            <w:r w:rsidR="00DD58E1" w:rsidRPr="002E2BA9">
              <w:rPr>
                <w:rFonts w:eastAsia="Calibri" w:cs="Calibri"/>
                <w:color w:val="000000"/>
                <w:lang w:val="pt-BR"/>
              </w:rPr>
              <w:t>:</w:t>
            </w:r>
          </w:p>
          <w:p w14:paraId="64AD0D31" w14:textId="2F9E9BD0" w:rsidR="00DD58E1" w:rsidRPr="007303B5" w:rsidRDefault="00DD58E1" w:rsidP="00DD58E1">
            <w:pPr>
              <w:numPr>
                <w:ilvl w:val="0"/>
                <w:numId w:val="38"/>
              </w:numPr>
              <w:pBdr>
                <w:top w:val="nil"/>
                <w:left w:val="nil"/>
                <w:bottom w:val="nil"/>
                <w:right w:val="nil"/>
                <w:between w:val="nil"/>
              </w:pBdr>
              <w:ind w:right="127"/>
              <w:jc w:val="both"/>
              <w:rPr>
                <w:rFonts w:eastAsia="Calibri" w:cs="Calibri"/>
                <w:color w:val="000000"/>
              </w:rPr>
            </w:pPr>
            <w:r w:rsidRPr="007303B5">
              <w:rPr>
                <w:rFonts w:eastAsia="Calibri" w:cs="Calibri"/>
                <w:color w:val="000000"/>
              </w:rPr>
              <w:t xml:space="preserve">În situația în care infrastructura de cercetare </w:t>
            </w:r>
            <w:r w:rsidRPr="007303B5">
              <w:rPr>
                <w:rFonts w:eastAsia="Calibri" w:cs="Calibri"/>
                <w:b/>
                <w:color w:val="000000"/>
              </w:rPr>
              <w:t xml:space="preserve">este utilizată în fiecare an pentru activități economice </w:t>
            </w:r>
            <w:r w:rsidR="00575535">
              <w:rPr>
                <w:rFonts w:eastAsia="Calibri" w:cs="Calibri"/>
                <w:b/>
                <w:color w:val="000000"/>
              </w:rPr>
              <w:t xml:space="preserve">pur </w:t>
            </w:r>
            <w:r w:rsidRPr="007303B5">
              <w:rPr>
                <w:rFonts w:eastAsia="Calibri" w:cs="Calibri"/>
                <w:b/>
                <w:color w:val="000000"/>
              </w:rPr>
              <w:t>auxiliare</w:t>
            </w:r>
            <w:r w:rsidRPr="007303B5">
              <w:rPr>
                <w:rFonts w:eastAsia="Calibri" w:cs="Calibri"/>
                <w:color w:val="000000"/>
              </w:rPr>
              <w:t xml:space="preserve"> (</w:t>
            </w:r>
            <w:r w:rsidRPr="00575535">
              <w:rPr>
                <w:rFonts w:eastAsia="Calibri" w:cs="Calibri"/>
                <w:color w:val="000000"/>
              </w:rPr>
              <w:t>utilizarea acesteia în scopuri economice nu depășește 20% din capacitatea anuală totală a entității respective</w:t>
            </w:r>
            <w:r w:rsidRPr="007303B5">
              <w:rPr>
                <w:rFonts w:eastAsia="Calibri" w:cs="Calibri"/>
                <w:color w:val="000000"/>
              </w:rPr>
              <w:t xml:space="preserve">), </w:t>
            </w:r>
            <w:r w:rsidRPr="00575535">
              <w:rPr>
                <w:rFonts w:eastAsia="Calibri" w:cs="Calibri"/>
                <w:b/>
                <w:bCs/>
                <w:color w:val="000000"/>
              </w:rPr>
              <w:t>regulile cu privire la ajutorul de stat nu se aplică pentru finanțarea acordată</w:t>
            </w:r>
            <w:r w:rsidRPr="007303B5">
              <w:rPr>
                <w:rFonts w:eastAsia="Calibri" w:cs="Calibri"/>
                <w:color w:val="000000"/>
              </w:rPr>
              <w:t>.</w:t>
            </w:r>
            <w:r w:rsidR="00575535">
              <w:rPr>
                <w:rFonts w:eastAsia="Calibri" w:cs="Calibri"/>
                <w:color w:val="000000"/>
              </w:rPr>
              <w:t xml:space="preserve"> Finanțarea se va face respectand prevederile Ghidului Solicitantului, respectiv </w:t>
            </w:r>
            <w:r w:rsidR="00575535" w:rsidRPr="00575535">
              <w:rPr>
                <w:rFonts w:eastAsia="Calibri" w:cs="Calibri"/>
                <w:b/>
                <w:bCs/>
                <w:color w:val="000000"/>
              </w:rPr>
              <w:t>sprijinul public eligibil se încadrează într-un procent de 98% din valoarea eligibilă a cheltuielilor</w:t>
            </w:r>
            <w:r w:rsidR="00575535" w:rsidRPr="00575535">
              <w:rPr>
                <w:rFonts w:eastAsia="Calibri" w:cs="Calibri"/>
                <w:color w:val="000000"/>
              </w:rPr>
              <w:t>, cu condiția utilizării, pentru activități economice, a maximum 20% din capacitatea anuală a infrastructurii organizației de cercetare finanțate</w:t>
            </w:r>
            <w:r w:rsidR="0037701B">
              <w:rPr>
                <w:rFonts w:eastAsia="Calibri" w:cs="Calibri"/>
                <w:color w:val="000000"/>
              </w:rPr>
              <w:t>.</w:t>
            </w:r>
          </w:p>
          <w:p w14:paraId="5DE004DD" w14:textId="77777777" w:rsidR="00DD58E1" w:rsidRPr="007303B5" w:rsidRDefault="00DD58E1" w:rsidP="001A5CD8">
            <w:pPr>
              <w:pBdr>
                <w:top w:val="nil"/>
                <w:left w:val="nil"/>
                <w:bottom w:val="nil"/>
                <w:right w:val="nil"/>
                <w:between w:val="nil"/>
              </w:pBdr>
              <w:ind w:left="360" w:right="127" w:hanging="360"/>
              <w:rPr>
                <w:rFonts w:eastAsia="Calibri" w:cs="Calibri"/>
                <w:b/>
                <w:color w:val="000000"/>
              </w:rPr>
            </w:pPr>
          </w:p>
          <w:p w14:paraId="762779FC" w14:textId="53B753D9" w:rsidR="00DD58E1" w:rsidRPr="007303B5" w:rsidRDefault="00DD58E1" w:rsidP="00DD58E1">
            <w:pPr>
              <w:numPr>
                <w:ilvl w:val="0"/>
                <w:numId w:val="38"/>
              </w:numPr>
              <w:pBdr>
                <w:top w:val="nil"/>
                <w:left w:val="nil"/>
                <w:bottom w:val="nil"/>
                <w:right w:val="nil"/>
                <w:between w:val="nil"/>
              </w:pBdr>
              <w:ind w:right="127"/>
              <w:jc w:val="both"/>
              <w:rPr>
                <w:rFonts w:eastAsia="Calibri" w:cs="Calibri"/>
                <w:color w:val="000000"/>
              </w:rPr>
            </w:pPr>
            <w:r w:rsidRPr="007303B5">
              <w:rPr>
                <w:rFonts w:eastAsia="Calibri" w:cs="Calibri"/>
                <w:color w:val="000000"/>
              </w:rPr>
              <w:t xml:space="preserve">În situația în care infrastructura de cercetare </w:t>
            </w:r>
            <w:r w:rsidR="00575535">
              <w:rPr>
                <w:rFonts w:eastAsia="Calibri" w:cs="Calibri"/>
                <w:b/>
                <w:color w:val="000000"/>
              </w:rPr>
              <w:t>desfășoară</w:t>
            </w:r>
            <w:r w:rsidRPr="007303B5">
              <w:rPr>
                <w:rFonts w:eastAsia="Calibri" w:cs="Calibri"/>
                <w:b/>
                <w:color w:val="000000"/>
              </w:rPr>
              <w:t xml:space="preserve"> activitate economică</w:t>
            </w:r>
            <w:r w:rsidR="00575535" w:rsidRPr="00575535">
              <w:rPr>
                <w:rFonts w:eastAsia="Calibri" w:cs="Calibri"/>
                <w:b/>
                <w:color w:val="000000"/>
              </w:rPr>
              <w:t xml:space="preserve"> care depășe</w:t>
            </w:r>
            <w:r w:rsidR="00575535">
              <w:rPr>
                <w:rFonts w:eastAsia="Calibri" w:cs="Calibri"/>
                <w:b/>
                <w:color w:val="000000"/>
              </w:rPr>
              <w:t>ște</w:t>
            </w:r>
            <w:r w:rsidR="00575535" w:rsidRPr="00575535">
              <w:rPr>
                <w:rFonts w:eastAsia="Calibri" w:cs="Calibri"/>
                <w:b/>
                <w:color w:val="000000"/>
              </w:rPr>
              <w:t xml:space="preserve"> 20% din capacitatea </w:t>
            </w:r>
            <w:r w:rsidR="00575535">
              <w:rPr>
                <w:rFonts w:eastAsia="Calibri" w:cs="Calibri"/>
                <w:b/>
                <w:color w:val="000000"/>
              </w:rPr>
              <w:t xml:space="preserve">sa </w:t>
            </w:r>
            <w:r w:rsidR="00575535" w:rsidRPr="00575535">
              <w:rPr>
                <w:rFonts w:eastAsia="Calibri" w:cs="Calibri"/>
                <w:b/>
                <w:color w:val="000000"/>
              </w:rPr>
              <w:t>anuală</w:t>
            </w:r>
            <w:r w:rsidRPr="007303B5">
              <w:rPr>
                <w:rFonts w:eastAsia="Calibri" w:cs="Calibri"/>
                <w:b/>
                <w:color w:val="000000"/>
              </w:rPr>
              <w:t xml:space="preserve"> </w:t>
            </w:r>
            <w:r w:rsidR="00575535">
              <w:rPr>
                <w:rFonts w:eastAsia="Calibri" w:cs="Calibri"/>
                <w:b/>
                <w:color w:val="000000"/>
              </w:rPr>
              <w:t xml:space="preserve">sau activitatea sa crește pe parcursul unui an </w:t>
            </w:r>
            <w:r w:rsidRPr="007303B5">
              <w:rPr>
                <w:rFonts w:eastAsia="Calibri" w:cs="Calibri"/>
                <w:b/>
                <w:color w:val="000000"/>
              </w:rPr>
              <w:t>astfel încât aceasta nu mai poate fi considerată auxiliară</w:t>
            </w:r>
            <w:r w:rsidR="0071047D">
              <w:rPr>
                <w:rFonts w:eastAsia="Calibri" w:cs="Calibri"/>
                <w:b/>
                <w:color w:val="000000"/>
              </w:rPr>
              <w:t xml:space="preserve"> (depășește pragul de 20%)</w:t>
            </w:r>
            <w:r w:rsidRPr="007303B5">
              <w:rPr>
                <w:rFonts w:eastAsia="Calibri" w:cs="Calibri"/>
                <w:color w:val="000000"/>
              </w:rPr>
              <w:t xml:space="preserve">, finanțarea publică a întregii activități economice se va supune regulilor </w:t>
            </w:r>
            <w:r w:rsidR="0071047D">
              <w:rPr>
                <w:rFonts w:eastAsia="Calibri" w:cs="Calibri"/>
                <w:color w:val="000000"/>
              </w:rPr>
              <w:t>aferente</w:t>
            </w:r>
            <w:r w:rsidRPr="007303B5">
              <w:rPr>
                <w:rFonts w:eastAsia="Calibri" w:cs="Calibri"/>
                <w:color w:val="000000"/>
              </w:rPr>
              <w:t xml:space="preserve"> ajutorul</w:t>
            </w:r>
            <w:r w:rsidR="0071047D">
              <w:rPr>
                <w:rFonts w:eastAsia="Calibri" w:cs="Calibri"/>
                <w:color w:val="000000"/>
              </w:rPr>
              <w:t>ui</w:t>
            </w:r>
            <w:r w:rsidRPr="007303B5">
              <w:rPr>
                <w:rFonts w:eastAsia="Calibri" w:cs="Calibri"/>
                <w:color w:val="000000"/>
              </w:rPr>
              <w:t xml:space="preserve"> de stat</w:t>
            </w:r>
            <w:r w:rsidR="0071047D">
              <w:rPr>
                <w:rFonts w:eastAsia="Calibri" w:cs="Calibri"/>
                <w:color w:val="000000"/>
              </w:rPr>
              <w:t xml:space="preserve"> pentru cercetare-dezvoltare</w:t>
            </w:r>
            <w:r w:rsidRPr="007303B5">
              <w:rPr>
                <w:rFonts w:eastAsia="Calibri" w:cs="Calibri"/>
                <w:color w:val="000000"/>
              </w:rPr>
              <w:t xml:space="preserve">, </w:t>
            </w:r>
            <w:r w:rsidR="00575535" w:rsidRPr="00575535">
              <w:rPr>
                <w:rFonts w:eastAsia="Calibri" w:cs="Calibri"/>
                <w:b/>
                <w:bCs/>
                <w:color w:val="000000"/>
              </w:rPr>
              <w:t xml:space="preserve">organizațiile de CDI </w:t>
            </w:r>
            <w:r w:rsidR="0071047D">
              <w:rPr>
                <w:rFonts w:eastAsia="Calibri" w:cs="Calibri"/>
                <w:b/>
                <w:bCs/>
                <w:color w:val="000000"/>
              </w:rPr>
              <w:t>fiind</w:t>
            </w:r>
            <w:r w:rsidR="00575535" w:rsidRPr="00575535">
              <w:rPr>
                <w:rFonts w:eastAsia="Calibri" w:cs="Calibri"/>
                <w:b/>
                <w:bCs/>
                <w:color w:val="000000"/>
              </w:rPr>
              <w:t xml:space="preserve"> asimilate întreprinderilor mari și cofinanțării aferente</w:t>
            </w:r>
            <w:r w:rsidR="00575535" w:rsidRPr="00575535">
              <w:rPr>
                <w:rFonts w:eastAsia="Calibri" w:cs="Calibri"/>
                <w:color w:val="000000"/>
              </w:rPr>
              <w:t xml:space="preserve"> acestora </w:t>
            </w:r>
            <w:r w:rsidR="0071047D">
              <w:rPr>
                <w:rFonts w:eastAsia="Calibri" w:cs="Calibri"/>
                <w:color w:val="000000"/>
              </w:rPr>
              <w:t>(</w:t>
            </w:r>
            <w:r w:rsidR="00575535" w:rsidRPr="00575535">
              <w:rPr>
                <w:rFonts w:eastAsia="Calibri" w:cs="Calibri"/>
                <w:color w:val="000000"/>
              </w:rPr>
              <w:t>pentru cazul în care activitățile economice depășesc pragul de 20%</w:t>
            </w:r>
            <w:r w:rsidRPr="007303B5">
              <w:rPr>
                <w:rFonts w:eastAsia="Calibri" w:cs="Calibri"/>
                <w:color w:val="000000"/>
              </w:rPr>
              <w:t>.</w:t>
            </w:r>
            <w:r w:rsidR="0071047D">
              <w:rPr>
                <w:rFonts w:eastAsia="Calibri" w:cs="Calibri"/>
                <w:color w:val="000000"/>
              </w:rPr>
              <w:t>)</w:t>
            </w:r>
          </w:p>
          <w:p w14:paraId="0C314378" w14:textId="77777777" w:rsidR="005634EC" w:rsidRDefault="005634EC" w:rsidP="005634EC">
            <w:pPr>
              <w:pBdr>
                <w:top w:val="nil"/>
                <w:left w:val="nil"/>
                <w:bottom w:val="nil"/>
                <w:right w:val="nil"/>
                <w:between w:val="nil"/>
              </w:pBdr>
              <w:ind w:right="127"/>
              <w:jc w:val="both"/>
              <w:rPr>
                <w:rFonts w:eastAsia="Calibri" w:cs="Calibri"/>
                <w:color w:val="000000"/>
              </w:rPr>
            </w:pPr>
          </w:p>
          <w:p w14:paraId="16AE835E" w14:textId="77777777" w:rsidR="00C80876" w:rsidRDefault="00C80876" w:rsidP="00C80876">
            <w:pPr>
              <w:pBdr>
                <w:top w:val="nil"/>
                <w:left w:val="nil"/>
                <w:bottom w:val="nil"/>
                <w:right w:val="nil"/>
                <w:between w:val="nil"/>
              </w:pBdr>
              <w:ind w:right="127"/>
              <w:jc w:val="both"/>
              <w:rPr>
                <w:rFonts w:eastAsia="Calibri" w:cs="Calibri"/>
                <w:b/>
                <w:bCs/>
                <w:color w:val="000000"/>
              </w:rPr>
            </w:pPr>
            <w:r>
              <w:rPr>
                <w:rFonts w:eastAsia="Calibri" w:cs="Calibri"/>
                <w:b/>
                <w:bCs/>
                <w:color w:val="000000"/>
              </w:rPr>
              <w:t>S</w:t>
            </w:r>
            <w:r w:rsidRPr="00A76AA6">
              <w:rPr>
                <w:rFonts w:eastAsia="Calibri" w:cs="Calibri"/>
                <w:b/>
                <w:bCs/>
                <w:color w:val="000000"/>
              </w:rPr>
              <w:t>olicitantul va avea obligația la depunerea cererii de finanțare a prezentării Modului de calcul prin care se demonstreaza faptul ca activitățile economice nu depășesc 20 % din capacitatea anuală globală a entității respective</w:t>
            </w:r>
            <w:r>
              <w:rPr>
                <w:rFonts w:eastAsia="Calibri" w:cs="Calibri"/>
                <w:b/>
                <w:bCs/>
                <w:color w:val="000000"/>
              </w:rPr>
              <w:t>, în anul fiscal anterior depunerii cererii.</w:t>
            </w:r>
          </w:p>
          <w:p w14:paraId="3FF26173" w14:textId="77777777" w:rsidR="00C80876" w:rsidRDefault="00C80876" w:rsidP="00C80876">
            <w:pPr>
              <w:pBdr>
                <w:top w:val="nil"/>
                <w:left w:val="nil"/>
                <w:bottom w:val="nil"/>
                <w:right w:val="nil"/>
                <w:between w:val="nil"/>
              </w:pBdr>
              <w:ind w:right="127"/>
              <w:jc w:val="both"/>
              <w:rPr>
                <w:rFonts w:eastAsia="Calibri" w:cs="Calibri"/>
                <w:b/>
                <w:bCs/>
                <w:color w:val="000000"/>
              </w:rPr>
            </w:pPr>
          </w:p>
          <w:p w14:paraId="50914A60" w14:textId="7F3ACB54" w:rsidR="00C80876" w:rsidRDefault="00C80876" w:rsidP="00C80876">
            <w:pPr>
              <w:pBdr>
                <w:top w:val="nil"/>
                <w:left w:val="nil"/>
                <w:bottom w:val="nil"/>
                <w:right w:val="nil"/>
                <w:between w:val="nil"/>
              </w:pBdr>
              <w:ind w:right="127"/>
              <w:jc w:val="both"/>
              <w:rPr>
                <w:rFonts w:eastAsia="Calibri" w:cs="Calibri"/>
                <w:b/>
                <w:bCs/>
                <w:color w:val="000000"/>
              </w:rPr>
            </w:pPr>
            <w:r>
              <w:rPr>
                <w:rFonts w:eastAsia="Calibri" w:cs="Calibri"/>
                <w:b/>
                <w:bCs/>
                <w:color w:val="000000"/>
              </w:rPr>
              <w:t xml:space="preserve">Verificarea menținerii acestei condiții se va face anual printr-un </w:t>
            </w:r>
            <w:r w:rsidRPr="00C80876">
              <w:rPr>
                <w:rFonts w:eastAsia="Calibri" w:cs="Calibri"/>
                <w:b/>
                <w:bCs/>
                <w:color w:val="000000"/>
              </w:rPr>
              <w:t xml:space="preserve">Raport anual de monitorizare a activității economice în anul fiscal precedent pentru organizatia de cercetare </w:t>
            </w:r>
            <w:r>
              <w:rPr>
                <w:rFonts w:eastAsia="Calibri" w:cs="Calibri"/>
                <w:b/>
                <w:bCs/>
                <w:color w:val="000000"/>
              </w:rPr>
              <w:t xml:space="preserve">. În acest sens, organizația de cercetare va depune anual, </w:t>
            </w:r>
            <w:r w:rsidRPr="00C80876">
              <w:rPr>
                <w:rFonts w:eastAsia="Calibri" w:cs="Calibri"/>
                <w:b/>
                <w:bCs/>
                <w:color w:val="000000"/>
              </w:rPr>
              <w:t>în termen de maximum 10 zile lucrătoare de la termenul de depunere a situațiilor financiare anuale</w:t>
            </w:r>
            <w:r>
              <w:rPr>
                <w:rFonts w:eastAsia="Calibri" w:cs="Calibri"/>
                <w:b/>
                <w:bCs/>
                <w:color w:val="000000"/>
              </w:rPr>
              <w:t>, modul de calcul prin care va demonstra încadrarea</w:t>
            </w:r>
            <w:r w:rsidR="00D02454">
              <w:rPr>
                <w:rFonts w:eastAsia="Calibri" w:cs="Calibri"/>
                <w:b/>
                <w:bCs/>
                <w:color w:val="000000"/>
              </w:rPr>
              <w:t xml:space="preserve"> activității economice sub/peste limita de 20% din capacitatea sa </w:t>
            </w:r>
            <w:r w:rsidR="00D02454" w:rsidRPr="00D02454">
              <w:rPr>
                <w:rFonts w:eastAsia="Calibri" w:cs="Calibri"/>
                <w:b/>
                <w:bCs/>
                <w:color w:val="000000"/>
              </w:rPr>
              <w:t>anuală globală</w:t>
            </w:r>
            <w:r w:rsidR="00D02454">
              <w:rPr>
                <w:rFonts w:eastAsia="Calibri" w:cs="Calibri"/>
                <w:b/>
                <w:bCs/>
                <w:color w:val="000000"/>
              </w:rPr>
              <w:t>.</w:t>
            </w:r>
          </w:p>
          <w:p w14:paraId="4D7EDB43" w14:textId="77777777" w:rsidR="00C80876" w:rsidRDefault="00C80876" w:rsidP="005634EC">
            <w:pPr>
              <w:pBdr>
                <w:top w:val="nil"/>
                <w:left w:val="nil"/>
                <w:bottom w:val="nil"/>
                <w:right w:val="nil"/>
                <w:between w:val="nil"/>
              </w:pBdr>
              <w:ind w:right="127"/>
              <w:jc w:val="both"/>
              <w:rPr>
                <w:rFonts w:eastAsia="Calibri" w:cs="Calibri"/>
                <w:b/>
                <w:bCs/>
                <w:color w:val="000000"/>
              </w:rPr>
            </w:pPr>
          </w:p>
          <w:p w14:paraId="637FA15F" w14:textId="1A8077C1" w:rsidR="00DD58E1" w:rsidRDefault="005634EC" w:rsidP="005634EC">
            <w:pPr>
              <w:pBdr>
                <w:top w:val="nil"/>
                <w:left w:val="nil"/>
                <w:bottom w:val="nil"/>
                <w:right w:val="nil"/>
                <w:between w:val="nil"/>
              </w:pBdr>
              <w:ind w:right="127"/>
              <w:jc w:val="both"/>
              <w:rPr>
                <w:rFonts w:eastAsia="Calibri" w:cs="Calibri"/>
                <w:color w:val="000000"/>
              </w:rPr>
            </w:pPr>
            <w:bookmarkStart w:id="0" w:name="_Hlk192075278"/>
            <w:r w:rsidRPr="005634EC">
              <w:rPr>
                <w:rFonts w:eastAsia="Calibri" w:cs="Calibri"/>
                <w:b/>
                <w:bCs/>
                <w:color w:val="000000"/>
              </w:rPr>
              <w:t>În cazul în care organizația de CDI trece dintr-o categorie în alta</w:t>
            </w:r>
            <w:r>
              <w:rPr>
                <w:rFonts w:eastAsia="Calibri" w:cs="Calibri"/>
                <w:color w:val="000000"/>
              </w:rPr>
              <w:t xml:space="preserve">, </w:t>
            </w:r>
            <w:r w:rsidRPr="005634EC">
              <w:rPr>
                <w:rFonts w:eastAsia="Calibri" w:cs="Calibri"/>
                <w:b/>
                <w:bCs/>
                <w:color w:val="000000"/>
              </w:rPr>
              <w:t>respectiv pe parcursul unui an fiscal  activitatea sa crește astfel încât aceasta nu mai poate fi considerată auxiliară</w:t>
            </w:r>
            <w:r w:rsidRPr="005634EC">
              <w:rPr>
                <w:rFonts w:eastAsia="Calibri" w:cs="Calibri"/>
                <w:color w:val="000000"/>
              </w:rPr>
              <w:t xml:space="preserve"> (depășește pragul de 20%),</w:t>
            </w:r>
            <w:r>
              <w:rPr>
                <w:rFonts w:eastAsia="Calibri" w:cs="Calibri"/>
                <w:color w:val="000000"/>
              </w:rPr>
              <w:t xml:space="preserve"> </w:t>
            </w:r>
            <w:r w:rsidRPr="005634EC">
              <w:rPr>
                <w:rFonts w:eastAsia="Calibri" w:cs="Calibri"/>
                <w:b/>
                <w:bCs/>
                <w:color w:val="000000"/>
              </w:rPr>
              <w:t>se va institui mecanism</w:t>
            </w:r>
            <w:r>
              <w:rPr>
                <w:rFonts w:eastAsia="Calibri" w:cs="Calibri"/>
                <w:b/>
                <w:bCs/>
                <w:color w:val="000000"/>
              </w:rPr>
              <w:t>ul</w:t>
            </w:r>
            <w:r w:rsidRPr="005634EC">
              <w:rPr>
                <w:rFonts w:eastAsia="Calibri" w:cs="Calibri"/>
                <w:b/>
                <w:bCs/>
                <w:color w:val="000000"/>
              </w:rPr>
              <w:t xml:space="preserve"> de recuperare</w:t>
            </w:r>
            <w:r>
              <w:rPr>
                <w:rFonts w:eastAsia="Calibri" w:cs="Calibri"/>
                <w:color w:val="000000"/>
              </w:rPr>
              <w:t>. V</w:t>
            </w:r>
            <w:r w:rsidR="00DD58E1" w:rsidRPr="007303B5">
              <w:rPr>
                <w:rFonts w:eastAsia="Calibri" w:cs="Calibri"/>
                <w:color w:val="000000"/>
              </w:rPr>
              <w:t>aloarea care trebuie recuperată este doar pentru anul în care capacitatea infrastructurii de cercetare este utilizată &gt;20% în activități economice.</w:t>
            </w:r>
          </w:p>
          <w:bookmarkEnd w:id="0"/>
          <w:p w14:paraId="369EACB4" w14:textId="77777777" w:rsidR="00A76AA6" w:rsidRDefault="00A76AA6" w:rsidP="005634EC">
            <w:pPr>
              <w:pBdr>
                <w:top w:val="nil"/>
                <w:left w:val="nil"/>
                <w:bottom w:val="nil"/>
                <w:right w:val="nil"/>
                <w:between w:val="nil"/>
              </w:pBdr>
              <w:ind w:right="127"/>
              <w:jc w:val="both"/>
              <w:rPr>
                <w:rFonts w:eastAsia="Calibri" w:cs="Calibri"/>
                <w:color w:val="000000"/>
              </w:rPr>
            </w:pPr>
          </w:p>
          <w:p w14:paraId="4CC1D892" w14:textId="77777777" w:rsidR="00A76AA6" w:rsidRDefault="00A76AA6" w:rsidP="005634EC">
            <w:pPr>
              <w:pBdr>
                <w:top w:val="nil"/>
                <w:left w:val="nil"/>
                <w:bottom w:val="nil"/>
                <w:right w:val="nil"/>
                <w:between w:val="nil"/>
              </w:pBdr>
              <w:ind w:right="127"/>
              <w:jc w:val="both"/>
              <w:rPr>
                <w:rFonts w:eastAsia="Calibri" w:cs="Calibri"/>
                <w:b/>
                <w:bCs/>
                <w:color w:val="000000"/>
              </w:rPr>
            </w:pPr>
          </w:p>
          <w:p w14:paraId="2A5CED85" w14:textId="77777777" w:rsidR="00A76AA6" w:rsidRPr="00A76AA6" w:rsidRDefault="00A76AA6" w:rsidP="005634EC">
            <w:pPr>
              <w:pBdr>
                <w:top w:val="nil"/>
                <w:left w:val="nil"/>
                <w:bottom w:val="nil"/>
                <w:right w:val="nil"/>
                <w:between w:val="nil"/>
              </w:pBdr>
              <w:ind w:right="127"/>
              <w:jc w:val="both"/>
              <w:rPr>
                <w:rFonts w:eastAsia="Calibri" w:cs="Calibri"/>
                <w:b/>
                <w:bCs/>
                <w:color w:val="000000"/>
              </w:rPr>
            </w:pPr>
          </w:p>
          <w:p w14:paraId="5A8A8F9A" w14:textId="77777777" w:rsidR="00DD58E1" w:rsidRPr="009F5D16" w:rsidRDefault="00DD58E1" w:rsidP="001A5CD8">
            <w:pPr>
              <w:pBdr>
                <w:top w:val="nil"/>
                <w:left w:val="nil"/>
                <w:bottom w:val="nil"/>
                <w:right w:val="nil"/>
                <w:between w:val="nil"/>
              </w:pBdr>
              <w:ind w:left="720" w:right="127"/>
              <w:jc w:val="both"/>
              <w:rPr>
                <w:rFonts w:eastAsia="Calibri" w:cs="Calibri"/>
                <w:color w:val="000000"/>
              </w:rPr>
            </w:pPr>
          </w:p>
          <w:p w14:paraId="6078688B" w14:textId="2A493D47" w:rsidR="00DD58E1" w:rsidRPr="007303B5" w:rsidRDefault="00DD58E1" w:rsidP="001A5CD8">
            <w:pPr>
              <w:pBdr>
                <w:top w:val="nil"/>
                <w:left w:val="nil"/>
                <w:bottom w:val="nil"/>
                <w:right w:val="nil"/>
                <w:between w:val="nil"/>
              </w:pBdr>
              <w:ind w:right="127"/>
              <w:jc w:val="both"/>
              <w:rPr>
                <w:rFonts w:eastAsia="Calibri" w:cs="Calibri"/>
                <w:color w:val="000000"/>
              </w:rPr>
            </w:pPr>
          </w:p>
        </w:tc>
      </w:tr>
    </w:tbl>
    <w:p w14:paraId="2D7E1C30" w14:textId="77777777" w:rsidR="00DD58E1" w:rsidRDefault="00DD58E1" w:rsidP="00AF212C">
      <w:pPr>
        <w:jc w:val="both"/>
        <w:rPr>
          <w:rFonts w:asciiTheme="minorHAnsi" w:hAnsiTheme="minorHAnsi"/>
          <w:color w:val="0070C0"/>
        </w:rPr>
      </w:pPr>
    </w:p>
    <w:p w14:paraId="5CFED33B" w14:textId="77777777" w:rsidR="00D95A6E" w:rsidRDefault="00D95A6E" w:rsidP="00AF212C">
      <w:pPr>
        <w:jc w:val="both"/>
        <w:rPr>
          <w:rFonts w:asciiTheme="minorHAnsi" w:hAnsiTheme="minorHAnsi"/>
          <w:b/>
          <w:bCs/>
          <w:color w:val="0070C0"/>
        </w:rPr>
      </w:pPr>
    </w:p>
    <w:p w14:paraId="3F3B6E88" w14:textId="77777777" w:rsidR="00D95A6E" w:rsidRDefault="00D95A6E" w:rsidP="00AF212C">
      <w:pPr>
        <w:jc w:val="both"/>
        <w:rPr>
          <w:rFonts w:asciiTheme="minorHAnsi" w:hAnsiTheme="minorHAnsi"/>
          <w:b/>
          <w:bCs/>
          <w:color w:val="0070C0"/>
        </w:rPr>
      </w:pPr>
    </w:p>
    <w:p w14:paraId="4808DB09" w14:textId="77777777" w:rsidR="00D95A6E" w:rsidRDefault="00D95A6E" w:rsidP="00AF212C">
      <w:pPr>
        <w:jc w:val="both"/>
        <w:rPr>
          <w:rFonts w:asciiTheme="minorHAnsi" w:hAnsiTheme="minorHAnsi"/>
          <w:b/>
          <w:bCs/>
          <w:color w:val="0070C0"/>
        </w:rPr>
      </w:pPr>
    </w:p>
    <w:p w14:paraId="6DED0D2A" w14:textId="2BB4896D" w:rsidR="00254813" w:rsidRDefault="00254813" w:rsidP="00AF212C">
      <w:pPr>
        <w:jc w:val="both"/>
        <w:rPr>
          <w:rFonts w:asciiTheme="minorHAnsi" w:hAnsiTheme="minorHAnsi"/>
          <w:b/>
          <w:bCs/>
          <w:color w:val="0070C0"/>
        </w:rPr>
      </w:pPr>
      <w:r w:rsidRPr="00254813">
        <w:rPr>
          <w:rFonts w:asciiTheme="minorHAnsi" w:hAnsiTheme="minorHAnsi"/>
          <w:b/>
          <w:bCs/>
          <w:color w:val="0070C0"/>
        </w:rPr>
        <w:t>Principii de bază în evaluarea activității economice</w:t>
      </w:r>
    </w:p>
    <w:p w14:paraId="0FE3CC5C" w14:textId="77777777" w:rsidR="00254813" w:rsidRDefault="00254813" w:rsidP="00AF212C">
      <w:pPr>
        <w:jc w:val="both"/>
        <w:rPr>
          <w:rFonts w:asciiTheme="minorHAnsi" w:hAnsiTheme="minorHAnsi"/>
          <w:b/>
          <w:bCs/>
          <w:color w:val="0070C0"/>
        </w:rPr>
      </w:pPr>
    </w:p>
    <w:p w14:paraId="00EC7B93" w14:textId="3EBD020D" w:rsidR="00254813" w:rsidRPr="00254813" w:rsidRDefault="00254813" w:rsidP="00D97E2D">
      <w:pPr>
        <w:pStyle w:val="ListParagraph"/>
        <w:numPr>
          <w:ilvl w:val="0"/>
          <w:numId w:val="40"/>
        </w:numPr>
        <w:jc w:val="both"/>
        <w:rPr>
          <w:rFonts w:asciiTheme="minorHAnsi" w:hAnsiTheme="minorHAnsi"/>
        </w:rPr>
      </w:pPr>
      <w:r w:rsidRPr="00254813">
        <w:rPr>
          <w:rFonts w:asciiTheme="minorHAnsi" w:hAnsiTheme="minorHAnsi"/>
        </w:rPr>
        <w:t>Evaluarea activității economice trebuie să vizeze infrastructura/ departamentul căreia i-a fost acordată finanțarea publică (nu întreaga infrastructură a unei anumite entități, cum ar fi, de exemplu, o universitate), și care este capabil</w:t>
      </w:r>
      <w:r w:rsidR="00D97E2D">
        <w:rPr>
          <w:rFonts w:asciiTheme="minorHAnsi" w:hAnsiTheme="minorHAnsi"/>
        </w:rPr>
        <w:t>/ă</w:t>
      </w:r>
      <w:r w:rsidRPr="00254813">
        <w:rPr>
          <w:rFonts w:asciiTheme="minorHAnsi" w:hAnsiTheme="minorHAnsi"/>
        </w:rPr>
        <w:t xml:space="preserve"> de a desfășura activități în mod independent datorită structurii organizaționale, a capitalului, materialelor și forței de muncă pe care le are în mod efectiv la dispoziție. ( spre ex, în cazul unei universități, dacă finanțarea este acordată unui singur laborator</w:t>
      </w:r>
      <w:r w:rsidR="00CF7AEF">
        <w:rPr>
          <w:rFonts w:asciiTheme="minorHAnsi" w:hAnsiTheme="minorHAnsi"/>
        </w:rPr>
        <w:t>/ departament</w:t>
      </w:r>
      <w:r w:rsidRPr="00254813">
        <w:rPr>
          <w:rFonts w:asciiTheme="minorHAnsi" w:hAnsiTheme="minorHAnsi"/>
        </w:rPr>
        <w:t xml:space="preserve">, acesta trebuie să fie capabil să desfășoare în mod independent activități de CDI, a.î. </w:t>
      </w:r>
      <w:r>
        <w:rPr>
          <w:rFonts w:asciiTheme="minorHAnsi" w:hAnsiTheme="minorHAnsi"/>
        </w:rPr>
        <w:t>evaluarea activității economice</w:t>
      </w:r>
      <w:r w:rsidRPr="00254813">
        <w:rPr>
          <w:rFonts w:asciiTheme="minorHAnsi" w:hAnsiTheme="minorHAnsi"/>
        </w:rPr>
        <w:t xml:space="preserve"> </w:t>
      </w:r>
      <w:r>
        <w:rPr>
          <w:rFonts w:asciiTheme="minorHAnsi" w:hAnsiTheme="minorHAnsi"/>
        </w:rPr>
        <w:t xml:space="preserve">să poată fi </w:t>
      </w:r>
      <w:r w:rsidRPr="00254813">
        <w:rPr>
          <w:rFonts w:asciiTheme="minorHAnsi" w:hAnsiTheme="minorHAnsi"/>
        </w:rPr>
        <w:t xml:space="preserve"> realizată separat, în special acolo unde sunt folosiți parametri diferiți pentru măsurarea capacității.</w:t>
      </w:r>
      <w:r>
        <w:rPr>
          <w:rFonts w:asciiTheme="minorHAnsi" w:hAnsiTheme="minorHAnsi"/>
        </w:rPr>
        <w:t>)</w:t>
      </w:r>
    </w:p>
    <w:p w14:paraId="45C60199" w14:textId="6EDD3979" w:rsidR="00E83BEA" w:rsidRDefault="00E83BEA" w:rsidP="00D97E2D">
      <w:pPr>
        <w:pStyle w:val="ListParagraph"/>
        <w:numPr>
          <w:ilvl w:val="0"/>
          <w:numId w:val="40"/>
        </w:numPr>
        <w:jc w:val="both"/>
        <w:rPr>
          <w:rFonts w:asciiTheme="minorHAnsi" w:hAnsiTheme="minorHAnsi"/>
        </w:rPr>
      </w:pPr>
      <w:r>
        <w:rPr>
          <w:rFonts w:asciiTheme="minorHAnsi" w:hAnsiTheme="minorHAnsi"/>
        </w:rPr>
        <w:t>C</w:t>
      </w:r>
      <w:r w:rsidRPr="00E83BEA">
        <w:rPr>
          <w:rFonts w:asciiTheme="minorHAnsi" w:hAnsiTheme="minorHAnsi"/>
        </w:rPr>
        <w:t>apacitatea utilizată a infrastructurii finanțate trebuie să fie măsurată, înregistrată și raportată anual</w:t>
      </w:r>
      <w:r>
        <w:rPr>
          <w:rFonts w:asciiTheme="minorHAnsi" w:hAnsiTheme="minorHAnsi"/>
        </w:rPr>
        <w:t>, conform cu precizările din Planul de Monitorizare</w:t>
      </w:r>
    </w:p>
    <w:p w14:paraId="4DA3F711" w14:textId="7C48E7BF" w:rsidR="00D857BE" w:rsidRDefault="00D857BE" w:rsidP="00D97E2D">
      <w:pPr>
        <w:pStyle w:val="ListParagraph"/>
        <w:numPr>
          <w:ilvl w:val="0"/>
          <w:numId w:val="40"/>
        </w:numPr>
        <w:jc w:val="both"/>
        <w:rPr>
          <w:rFonts w:asciiTheme="minorHAnsi" w:hAnsiTheme="minorHAnsi"/>
        </w:rPr>
      </w:pPr>
      <w:r w:rsidRPr="00D857BE">
        <w:rPr>
          <w:rFonts w:asciiTheme="minorHAnsi" w:hAnsiTheme="minorHAnsi"/>
        </w:rPr>
        <w:t>Parametr</w:t>
      </w:r>
      <w:r>
        <w:rPr>
          <w:rFonts w:asciiTheme="minorHAnsi" w:hAnsiTheme="minorHAnsi"/>
        </w:rPr>
        <w:t>ii utilizați</w:t>
      </w:r>
      <w:r w:rsidRPr="00D857BE">
        <w:rPr>
          <w:rFonts w:asciiTheme="minorHAnsi" w:hAnsiTheme="minorHAnsi"/>
        </w:rPr>
        <w:t xml:space="preserve"> pentru măsurarea capacității entității relevante (infrastructurii)</w:t>
      </w:r>
      <w:r>
        <w:rPr>
          <w:rFonts w:asciiTheme="minorHAnsi" w:hAnsiTheme="minorHAnsi"/>
        </w:rPr>
        <w:t xml:space="preserve"> pot fi de tipul: timp de utilizare a infrastructurii, </w:t>
      </w:r>
      <w:r w:rsidR="00114AB3">
        <w:rPr>
          <w:rFonts w:asciiTheme="minorHAnsi" w:hAnsiTheme="minorHAnsi"/>
        </w:rPr>
        <w:t xml:space="preserve">spațiu, </w:t>
      </w:r>
      <w:r>
        <w:rPr>
          <w:rFonts w:asciiTheme="minorHAnsi" w:hAnsiTheme="minorHAnsi"/>
        </w:rPr>
        <w:t>resurse consumate anual (</w:t>
      </w:r>
      <w:r w:rsidRPr="00D857BE">
        <w:rPr>
          <w:rFonts w:asciiTheme="minorHAnsi" w:hAnsiTheme="minorHAnsi"/>
        </w:rPr>
        <w:t>materiale, echipamente, forță de muncă</w:t>
      </w:r>
      <w:r>
        <w:rPr>
          <w:rFonts w:asciiTheme="minorHAnsi" w:hAnsiTheme="minorHAnsi"/>
        </w:rPr>
        <w:t xml:space="preserve">). Parametrii utilizati vor fi aceeasi pe intreaga perioada de calcul a monitorizarii activității economice. </w:t>
      </w:r>
    </w:p>
    <w:p w14:paraId="2C65BF83" w14:textId="77777777" w:rsidR="00D857BE" w:rsidRPr="00D857BE" w:rsidRDefault="00D857BE" w:rsidP="00D97E2D">
      <w:pPr>
        <w:pStyle w:val="ListParagraph"/>
        <w:jc w:val="both"/>
        <w:rPr>
          <w:rFonts w:asciiTheme="minorHAnsi" w:hAnsiTheme="minorHAnsi"/>
        </w:rPr>
      </w:pPr>
    </w:p>
    <w:p w14:paraId="76E42D0D" w14:textId="6DD1A7A2" w:rsidR="00D857BE" w:rsidRPr="00D857BE" w:rsidRDefault="00D857BE" w:rsidP="00D97E2D">
      <w:pPr>
        <w:pStyle w:val="ListParagraph"/>
        <w:jc w:val="both"/>
        <w:rPr>
          <w:rFonts w:asciiTheme="minorHAnsi" w:hAnsiTheme="minorHAnsi"/>
        </w:rPr>
      </w:pPr>
      <w:r>
        <w:rPr>
          <w:rFonts w:asciiTheme="minorHAnsi" w:hAnsiTheme="minorHAnsi"/>
        </w:rPr>
        <w:t xml:space="preserve">Atenție! </w:t>
      </w:r>
      <w:r w:rsidRPr="00D857BE">
        <w:rPr>
          <w:rFonts w:asciiTheme="minorHAnsi" w:hAnsiTheme="minorHAnsi"/>
        </w:rPr>
        <w:t>Profiturile sau  veniturile nu pot fi utilizate drept parametri</w:t>
      </w:r>
      <w:r w:rsidR="00F965EB">
        <w:rPr>
          <w:rFonts w:asciiTheme="minorHAnsi" w:hAnsiTheme="minorHAnsi"/>
        </w:rPr>
        <w:t xml:space="preserve"> </w:t>
      </w:r>
      <w:r w:rsidR="00F965EB" w:rsidRPr="00D857BE">
        <w:rPr>
          <w:rFonts w:asciiTheme="minorHAnsi" w:hAnsiTheme="minorHAnsi"/>
        </w:rPr>
        <w:t>pentru măsurarea capacității</w:t>
      </w:r>
      <w:r w:rsidRPr="00D857BE">
        <w:rPr>
          <w:rFonts w:asciiTheme="minorHAnsi" w:hAnsiTheme="minorHAnsi"/>
        </w:rPr>
        <w:t>.</w:t>
      </w:r>
      <w:r>
        <w:rPr>
          <w:rFonts w:asciiTheme="minorHAnsi" w:hAnsiTheme="minorHAnsi"/>
        </w:rPr>
        <w:br/>
      </w:r>
    </w:p>
    <w:p w14:paraId="2F82B381" w14:textId="569155A0" w:rsidR="00D857BE" w:rsidRPr="00AF3487" w:rsidRDefault="00D857BE" w:rsidP="00AF3487">
      <w:pPr>
        <w:jc w:val="both"/>
        <w:rPr>
          <w:rFonts w:asciiTheme="minorHAnsi" w:hAnsiTheme="minorHAnsi"/>
        </w:rPr>
      </w:pPr>
    </w:p>
    <w:sectPr w:rsidR="00D857BE" w:rsidRPr="00AF3487" w:rsidSect="002E7267">
      <w:headerReference w:type="default" r:id="rId8"/>
      <w:footerReference w:type="even" r:id="rId9"/>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3D9E6" w14:textId="77777777" w:rsidR="002E7267" w:rsidRDefault="002E7267" w:rsidP="00CA5399">
      <w:r>
        <w:separator/>
      </w:r>
    </w:p>
  </w:endnote>
  <w:endnote w:type="continuationSeparator" w:id="0">
    <w:p w14:paraId="656E26F2" w14:textId="77777777" w:rsidR="002E7267" w:rsidRDefault="002E7267"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6DA38" w14:textId="77777777" w:rsidR="002E7267" w:rsidRDefault="002E7267" w:rsidP="00CA5399">
      <w:r>
        <w:separator/>
      </w:r>
    </w:p>
  </w:footnote>
  <w:footnote w:type="continuationSeparator" w:id="0">
    <w:p w14:paraId="3730BC57" w14:textId="77777777" w:rsidR="002E7267" w:rsidRDefault="002E7267" w:rsidP="00CA5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779CC" w14:paraId="11CAAA05" w14:textId="77777777" w:rsidTr="00C462A6">
      <w:tc>
        <w:tcPr>
          <w:tcW w:w="9197" w:type="dxa"/>
          <w:tcBorders>
            <w:top w:val="nil"/>
            <w:left w:val="nil"/>
            <w:bottom w:val="single" w:sz="4" w:space="0" w:color="333333"/>
            <w:right w:val="nil"/>
          </w:tcBorders>
          <w:hideMark/>
        </w:tcPr>
        <w:p w14:paraId="719424A6"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Programul Regional Sud-Vest Oltenia 2021-2027</w:t>
          </w:r>
        </w:p>
        <w:p w14:paraId="5B4EFABA"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OS 1.  Dezvoltarea și creșterea capacităților de cercetare și inovare și adoptarea tehnologiilor avansate</w:t>
          </w:r>
        </w:p>
        <w:p w14:paraId="7FF58650"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Prioritatea 1: Competitivitate prin inovare și întreprinderi dinamice</w:t>
          </w:r>
        </w:p>
        <w:p w14:paraId="4002EC7A" w14:textId="092E959D" w:rsidR="006779CC" w:rsidRDefault="00D444A7" w:rsidP="00D444A7">
          <w:pPr>
            <w:pStyle w:val="5Normal"/>
            <w:tabs>
              <w:tab w:val="clear" w:pos="1134"/>
              <w:tab w:val="left" w:pos="1344"/>
            </w:tabs>
            <w:spacing w:before="40" w:after="40"/>
            <w:rPr>
              <w:rFonts w:asciiTheme="minorHAnsi" w:hAnsiTheme="minorHAnsi" w:cstheme="minorHAnsi"/>
              <w:b/>
              <w:sz w:val="16"/>
              <w:szCs w:val="16"/>
            </w:rPr>
          </w:pPr>
          <w:r w:rsidRPr="00D444A7">
            <w:rPr>
              <w:rFonts w:asciiTheme="minorHAnsi" w:hAnsiTheme="minorHAnsi" w:cstheme="minorHAnsi"/>
              <w:b/>
              <w:sz w:val="16"/>
              <w:szCs w:val="16"/>
            </w:rPr>
            <w:t>Acțiunea 1.1 - „Infrastructuri de cercetare, inovare si transfer tehnologic in colaborare cu IMM-urile”</w:t>
          </w:r>
        </w:p>
      </w:tc>
      <w:tc>
        <w:tcPr>
          <w:tcW w:w="1156" w:type="dxa"/>
          <w:tcBorders>
            <w:top w:val="nil"/>
            <w:left w:val="nil"/>
            <w:bottom w:val="single" w:sz="4" w:space="0" w:color="333333"/>
            <w:right w:val="nil"/>
          </w:tcBorders>
        </w:tcPr>
        <w:p w14:paraId="4B36D65E" w14:textId="77777777" w:rsidR="006779CC" w:rsidRDefault="006779CC" w:rsidP="006779CC">
          <w:pPr>
            <w:tabs>
              <w:tab w:val="center" w:pos="4536"/>
              <w:tab w:val="right" w:pos="9072"/>
            </w:tabs>
            <w:jc w:val="center"/>
            <w:rPr>
              <w:rFonts w:asciiTheme="minorHAnsi" w:hAnsiTheme="minorHAnsi" w:cstheme="minorHAnsi"/>
              <w:sz w:val="16"/>
              <w:szCs w:val="16"/>
            </w:rPr>
          </w:pPr>
        </w:p>
      </w:tc>
    </w:tr>
    <w:tr w:rsidR="006779CC" w14:paraId="5C9A0550" w14:textId="77777777" w:rsidTr="00C462A6">
      <w:trPr>
        <w:cantSplit/>
      </w:trPr>
      <w:tc>
        <w:tcPr>
          <w:tcW w:w="10357" w:type="dxa"/>
          <w:gridSpan w:val="2"/>
          <w:tcBorders>
            <w:top w:val="nil"/>
            <w:left w:val="nil"/>
            <w:bottom w:val="nil"/>
            <w:right w:val="nil"/>
          </w:tcBorders>
        </w:tcPr>
        <w:p w14:paraId="26E93B70" w14:textId="77777777" w:rsidR="006779CC" w:rsidRDefault="006779CC" w:rsidP="006779CC">
          <w:pPr>
            <w:tabs>
              <w:tab w:val="center" w:pos="4536"/>
              <w:tab w:val="right" w:pos="9072"/>
            </w:tabs>
            <w:rPr>
              <w:rFonts w:asciiTheme="minorHAnsi" w:hAnsiTheme="minorHAnsi" w:cstheme="minorHAnsi"/>
              <w:b/>
              <w:bCs/>
              <w:sz w:val="16"/>
              <w:szCs w:val="16"/>
            </w:rPr>
          </w:pPr>
        </w:p>
      </w:tc>
    </w:tr>
  </w:tbl>
  <w:p w14:paraId="5AE1ABD7" w14:textId="65534575" w:rsidR="00522E8E" w:rsidRPr="00522E8E" w:rsidRDefault="006779CC" w:rsidP="00C75F36">
    <w:pPr>
      <w:pStyle w:val="5Normal"/>
      <w:spacing w:after="0"/>
      <w:jc w:val="right"/>
      <w:rPr>
        <w:b/>
        <w:bCs/>
        <w:color w:val="2E74B5" w:themeColor="accent1" w:themeShade="BF"/>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AF5082" w:rsidRPr="00AF5082">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 </w:t>
    </w:r>
    <w:r w:rsidR="00B436D0">
      <w:rPr>
        <w:rFonts w:asciiTheme="minorHAnsi" w:hAnsiTheme="minorHAnsi" w:cstheme="minorHAnsi"/>
        <w:b/>
        <w:sz w:val="16"/>
        <w:szCs w:val="16"/>
        <w:lang w:val="pt-BR"/>
      </w:rPr>
      <w:t xml:space="preserve">MODEL </w:t>
    </w:r>
    <w:r w:rsidR="00C75F36">
      <w:rPr>
        <w:rFonts w:asciiTheme="minorHAnsi" w:hAnsiTheme="minorHAnsi" w:cstheme="minorHAnsi"/>
        <w:b/>
        <w:sz w:val="16"/>
        <w:szCs w:val="16"/>
        <w:lang w:val="pt-BR"/>
      </w:rP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7D3A29"/>
    <w:multiLevelType w:val="multilevel"/>
    <w:tmpl w:val="FDAA1852"/>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3"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6991BBD"/>
    <w:multiLevelType w:val="multilevel"/>
    <w:tmpl w:val="93BC0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0267CA"/>
    <w:multiLevelType w:val="hybridMultilevel"/>
    <w:tmpl w:val="FC7E2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2"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5F5349A0"/>
    <w:multiLevelType w:val="hybridMultilevel"/>
    <w:tmpl w:val="730C1E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8325CBA"/>
    <w:multiLevelType w:val="multilevel"/>
    <w:tmpl w:val="14E292E2"/>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5"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6"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87254144">
    <w:abstractNumId w:val="9"/>
  </w:num>
  <w:num w:numId="2" w16cid:durableId="2077781274">
    <w:abstractNumId w:val="23"/>
  </w:num>
  <w:num w:numId="3" w16cid:durableId="1353610772">
    <w:abstractNumId w:val="19"/>
  </w:num>
  <w:num w:numId="4" w16cid:durableId="426003566">
    <w:abstractNumId w:val="30"/>
  </w:num>
  <w:num w:numId="5" w16cid:durableId="20097931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360215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1232811">
    <w:abstractNumId w:val="29"/>
  </w:num>
  <w:num w:numId="8" w16cid:durableId="13729514">
    <w:abstractNumId w:val="6"/>
  </w:num>
  <w:num w:numId="9" w16cid:durableId="1198929620">
    <w:abstractNumId w:val="20"/>
  </w:num>
  <w:num w:numId="10" w16cid:durableId="168495727">
    <w:abstractNumId w:val="27"/>
  </w:num>
  <w:num w:numId="11" w16cid:durableId="1815294724">
    <w:abstractNumId w:val="11"/>
  </w:num>
  <w:num w:numId="12" w16cid:durableId="1711689550">
    <w:abstractNumId w:val="35"/>
  </w:num>
  <w:num w:numId="13" w16cid:durableId="1238977377">
    <w:abstractNumId w:val="34"/>
  </w:num>
  <w:num w:numId="14" w16cid:durableId="1541669552">
    <w:abstractNumId w:val="5"/>
  </w:num>
  <w:num w:numId="15" w16cid:durableId="1646084806">
    <w:abstractNumId w:val="15"/>
  </w:num>
  <w:num w:numId="16" w16cid:durableId="747966250">
    <w:abstractNumId w:val="17"/>
  </w:num>
  <w:num w:numId="17" w16cid:durableId="537396311">
    <w:abstractNumId w:val="2"/>
  </w:num>
  <w:num w:numId="18" w16cid:durableId="1469474182">
    <w:abstractNumId w:val="31"/>
  </w:num>
  <w:num w:numId="19" w16cid:durableId="2060856325">
    <w:abstractNumId w:val="26"/>
  </w:num>
  <w:num w:numId="20" w16cid:durableId="1591809513">
    <w:abstractNumId w:val="36"/>
  </w:num>
  <w:num w:numId="21" w16cid:durableId="1172838591">
    <w:abstractNumId w:val="1"/>
  </w:num>
  <w:num w:numId="22" w16cid:durableId="904026134">
    <w:abstractNumId w:val="38"/>
  </w:num>
  <w:num w:numId="23" w16cid:durableId="1520850506">
    <w:abstractNumId w:val="3"/>
  </w:num>
  <w:num w:numId="24" w16cid:durableId="606037603">
    <w:abstractNumId w:val="25"/>
  </w:num>
  <w:num w:numId="25" w16cid:durableId="763379086">
    <w:abstractNumId w:val="8"/>
  </w:num>
  <w:num w:numId="26" w16cid:durableId="1565725577">
    <w:abstractNumId w:val="14"/>
  </w:num>
  <w:num w:numId="27" w16cid:durableId="1134714736">
    <w:abstractNumId w:val="21"/>
  </w:num>
  <w:num w:numId="28" w16cid:durableId="306935385">
    <w:abstractNumId w:val="0"/>
  </w:num>
  <w:num w:numId="29" w16cid:durableId="1867020258">
    <w:abstractNumId w:val="4"/>
  </w:num>
  <w:num w:numId="30" w16cid:durableId="856122399">
    <w:abstractNumId w:val="13"/>
  </w:num>
  <w:num w:numId="31" w16cid:durableId="1267343419">
    <w:abstractNumId w:val="32"/>
  </w:num>
  <w:num w:numId="32" w16cid:durableId="782580668">
    <w:abstractNumId w:val="37"/>
  </w:num>
  <w:num w:numId="33" w16cid:durableId="1063793407">
    <w:abstractNumId w:val="28"/>
  </w:num>
  <w:num w:numId="34" w16cid:durableId="2065832683">
    <w:abstractNumId w:val="12"/>
  </w:num>
  <w:num w:numId="35" w16cid:durableId="28384161">
    <w:abstractNumId w:val="22"/>
  </w:num>
  <w:num w:numId="36" w16cid:durableId="802965079">
    <w:abstractNumId w:val="18"/>
  </w:num>
  <w:num w:numId="37" w16cid:durableId="543252208">
    <w:abstractNumId w:val="7"/>
  </w:num>
  <w:num w:numId="38" w16cid:durableId="1992557108">
    <w:abstractNumId w:val="16"/>
  </w:num>
  <w:num w:numId="39" w16cid:durableId="1003972939">
    <w:abstractNumId w:val="33"/>
  </w:num>
  <w:num w:numId="40" w16cid:durableId="11695605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24DA2"/>
    <w:rsid w:val="00031B81"/>
    <w:rsid w:val="00037064"/>
    <w:rsid w:val="00041F19"/>
    <w:rsid w:val="00043D6E"/>
    <w:rsid w:val="00044321"/>
    <w:rsid w:val="00050C67"/>
    <w:rsid w:val="00053607"/>
    <w:rsid w:val="00053C60"/>
    <w:rsid w:val="00054F64"/>
    <w:rsid w:val="000563E7"/>
    <w:rsid w:val="000573A3"/>
    <w:rsid w:val="00057578"/>
    <w:rsid w:val="00060D01"/>
    <w:rsid w:val="00061969"/>
    <w:rsid w:val="000712A0"/>
    <w:rsid w:val="00072D8C"/>
    <w:rsid w:val="0007469F"/>
    <w:rsid w:val="00076C06"/>
    <w:rsid w:val="00076CAA"/>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C5AF2"/>
    <w:rsid w:val="000D2FE4"/>
    <w:rsid w:val="000D313D"/>
    <w:rsid w:val="000E22B6"/>
    <w:rsid w:val="000E3A44"/>
    <w:rsid w:val="000E5B62"/>
    <w:rsid w:val="000F3082"/>
    <w:rsid w:val="000F6B33"/>
    <w:rsid w:val="0010107A"/>
    <w:rsid w:val="00114242"/>
    <w:rsid w:val="00114AB3"/>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813"/>
    <w:rsid w:val="00254B39"/>
    <w:rsid w:val="00257ECE"/>
    <w:rsid w:val="00263206"/>
    <w:rsid w:val="00263E99"/>
    <w:rsid w:val="00264E13"/>
    <w:rsid w:val="002654E8"/>
    <w:rsid w:val="00265842"/>
    <w:rsid w:val="002702CC"/>
    <w:rsid w:val="00273217"/>
    <w:rsid w:val="0027601F"/>
    <w:rsid w:val="00276CB3"/>
    <w:rsid w:val="00280775"/>
    <w:rsid w:val="00291710"/>
    <w:rsid w:val="00291F07"/>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2E7267"/>
    <w:rsid w:val="003015A1"/>
    <w:rsid w:val="00305B0F"/>
    <w:rsid w:val="003240BF"/>
    <w:rsid w:val="0032493B"/>
    <w:rsid w:val="00324972"/>
    <w:rsid w:val="00325DB7"/>
    <w:rsid w:val="003272CE"/>
    <w:rsid w:val="003336BE"/>
    <w:rsid w:val="003353A9"/>
    <w:rsid w:val="00344CD8"/>
    <w:rsid w:val="00347258"/>
    <w:rsid w:val="00347E0B"/>
    <w:rsid w:val="0035778F"/>
    <w:rsid w:val="00362A33"/>
    <w:rsid w:val="00362BAD"/>
    <w:rsid w:val="00372E9A"/>
    <w:rsid w:val="003768BE"/>
    <w:rsid w:val="0037701B"/>
    <w:rsid w:val="0037773A"/>
    <w:rsid w:val="003803B3"/>
    <w:rsid w:val="003974B2"/>
    <w:rsid w:val="00397C75"/>
    <w:rsid w:val="00397D84"/>
    <w:rsid w:val="003A7A31"/>
    <w:rsid w:val="003A7F0D"/>
    <w:rsid w:val="003B021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23D"/>
    <w:rsid w:val="005039A5"/>
    <w:rsid w:val="00504371"/>
    <w:rsid w:val="00506B16"/>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34EC"/>
    <w:rsid w:val="00565457"/>
    <w:rsid w:val="00571EBE"/>
    <w:rsid w:val="00572E50"/>
    <w:rsid w:val="00575535"/>
    <w:rsid w:val="00580228"/>
    <w:rsid w:val="0058064D"/>
    <w:rsid w:val="00581F50"/>
    <w:rsid w:val="00584DEF"/>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05C9"/>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63"/>
    <w:rsid w:val="0070468D"/>
    <w:rsid w:val="00707F70"/>
    <w:rsid w:val="0071047D"/>
    <w:rsid w:val="00711405"/>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0F74"/>
    <w:rsid w:val="007D129B"/>
    <w:rsid w:val="007D2E83"/>
    <w:rsid w:val="007E3368"/>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055C"/>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7566B"/>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1FF"/>
    <w:rsid w:val="009D74DC"/>
    <w:rsid w:val="009E1765"/>
    <w:rsid w:val="009E2B43"/>
    <w:rsid w:val="009E5B82"/>
    <w:rsid w:val="00A02B9A"/>
    <w:rsid w:val="00A0486A"/>
    <w:rsid w:val="00A10D30"/>
    <w:rsid w:val="00A1571A"/>
    <w:rsid w:val="00A16CCE"/>
    <w:rsid w:val="00A20FA7"/>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6AA6"/>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A6EFC"/>
    <w:rsid w:val="00AB0DA4"/>
    <w:rsid w:val="00AB45B3"/>
    <w:rsid w:val="00AD0A9F"/>
    <w:rsid w:val="00AD0B6C"/>
    <w:rsid w:val="00AD2308"/>
    <w:rsid w:val="00AD6A96"/>
    <w:rsid w:val="00AD795C"/>
    <w:rsid w:val="00AE0458"/>
    <w:rsid w:val="00AE41A1"/>
    <w:rsid w:val="00AE6260"/>
    <w:rsid w:val="00AF212C"/>
    <w:rsid w:val="00AF3487"/>
    <w:rsid w:val="00AF4A0B"/>
    <w:rsid w:val="00AF5082"/>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019D"/>
    <w:rsid w:val="00B81411"/>
    <w:rsid w:val="00B815AB"/>
    <w:rsid w:val="00B81D6A"/>
    <w:rsid w:val="00B8281B"/>
    <w:rsid w:val="00B9417B"/>
    <w:rsid w:val="00B95DD7"/>
    <w:rsid w:val="00B967FE"/>
    <w:rsid w:val="00B96A69"/>
    <w:rsid w:val="00BA0A90"/>
    <w:rsid w:val="00BB0566"/>
    <w:rsid w:val="00BB0A1F"/>
    <w:rsid w:val="00BB3676"/>
    <w:rsid w:val="00BC2219"/>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75F36"/>
    <w:rsid w:val="00C80876"/>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CF7AEF"/>
    <w:rsid w:val="00D007E8"/>
    <w:rsid w:val="00D02454"/>
    <w:rsid w:val="00D03D9C"/>
    <w:rsid w:val="00D05D38"/>
    <w:rsid w:val="00D12089"/>
    <w:rsid w:val="00D12748"/>
    <w:rsid w:val="00D16D45"/>
    <w:rsid w:val="00D17D71"/>
    <w:rsid w:val="00D240BB"/>
    <w:rsid w:val="00D26905"/>
    <w:rsid w:val="00D316D8"/>
    <w:rsid w:val="00D3368C"/>
    <w:rsid w:val="00D33873"/>
    <w:rsid w:val="00D35E1C"/>
    <w:rsid w:val="00D368BE"/>
    <w:rsid w:val="00D379FC"/>
    <w:rsid w:val="00D41D37"/>
    <w:rsid w:val="00D42741"/>
    <w:rsid w:val="00D427FE"/>
    <w:rsid w:val="00D44338"/>
    <w:rsid w:val="00D444A7"/>
    <w:rsid w:val="00D46012"/>
    <w:rsid w:val="00D47B9E"/>
    <w:rsid w:val="00D52251"/>
    <w:rsid w:val="00D5639A"/>
    <w:rsid w:val="00D60AE9"/>
    <w:rsid w:val="00D779CD"/>
    <w:rsid w:val="00D857BE"/>
    <w:rsid w:val="00D85C12"/>
    <w:rsid w:val="00D860C2"/>
    <w:rsid w:val="00D87801"/>
    <w:rsid w:val="00D905DB"/>
    <w:rsid w:val="00D90A2A"/>
    <w:rsid w:val="00D910E7"/>
    <w:rsid w:val="00D94135"/>
    <w:rsid w:val="00D95A6E"/>
    <w:rsid w:val="00D97E2D"/>
    <w:rsid w:val="00DA01AE"/>
    <w:rsid w:val="00DA09F8"/>
    <w:rsid w:val="00DA0A73"/>
    <w:rsid w:val="00DA14AB"/>
    <w:rsid w:val="00DB1ABE"/>
    <w:rsid w:val="00DB7DCD"/>
    <w:rsid w:val="00DC075E"/>
    <w:rsid w:val="00DC1C3D"/>
    <w:rsid w:val="00DC66B7"/>
    <w:rsid w:val="00DD39B3"/>
    <w:rsid w:val="00DD43C5"/>
    <w:rsid w:val="00DD49CE"/>
    <w:rsid w:val="00DD58E1"/>
    <w:rsid w:val="00DF022A"/>
    <w:rsid w:val="00DF42AF"/>
    <w:rsid w:val="00DF44A9"/>
    <w:rsid w:val="00DF4BFF"/>
    <w:rsid w:val="00E062CE"/>
    <w:rsid w:val="00E06CA6"/>
    <w:rsid w:val="00E11C9A"/>
    <w:rsid w:val="00E1326B"/>
    <w:rsid w:val="00E154F6"/>
    <w:rsid w:val="00E21077"/>
    <w:rsid w:val="00E23DD1"/>
    <w:rsid w:val="00E251D7"/>
    <w:rsid w:val="00E30A31"/>
    <w:rsid w:val="00E32202"/>
    <w:rsid w:val="00E37B99"/>
    <w:rsid w:val="00E41FA5"/>
    <w:rsid w:val="00E437A2"/>
    <w:rsid w:val="00E47269"/>
    <w:rsid w:val="00E60037"/>
    <w:rsid w:val="00E60D27"/>
    <w:rsid w:val="00E60E24"/>
    <w:rsid w:val="00E62F5F"/>
    <w:rsid w:val="00E66594"/>
    <w:rsid w:val="00E67BA1"/>
    <w:rsid w:val="00E728E0"/>
    <w:rsid w:val="00E7468A"/>
    <w:rsid w:val="00E74692"/>
    <w:rsid w:val="00E76C4E"/>
    <w:rsid w:val="00E83BEA"/>
    <w:rsid w:val="00E85903"/>
    <w:rsid w:val="00E87F5A"/>
    <w:rsid w:val="00E923F0"/>
    <w:rsid w:val="00E92954"/>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17047"/>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965EB"/>
    <w:rsid w:val="00FA50A4"/>
    <w:rsid w:val="00FA55ED"/>
    <w:rsid w:val="00FA678A"/>
    <w:rsid w:val="00FA6F60"/>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본문(내용),2,L"/>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2 Char"/>
    <w:link w:val="ListParagraph"/>
    <w:uiPriority w:val="34"/>
    <w:qFormat/>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D2AF-84EF-49C5-8E21-D481A6E5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958</Words>
  <Characters>5990</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Loredana Tisan</cp:lastModifiedBy>
  <cp:revision>39</cp:revision>
  <cp:lastPrinted>2018-07-04T12:53:00Z</cp:lastPrinted>
  <dcterms:created xsi:type="dcterms:W3CDTF">2023-10-04T18:43:00Z</dcterms:created>
  <dcterms:modified xsi:type="dcterms:W3CDTF">2025-03-05T12:00:00Z</dcterms:modified>
</cp:coreProperties>
</file>